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rPr>
          <w:b/>
          <w:bCs/>
        </w:rPr>
      </w:pPr>
      <w:r>
        <w:rPr>
          <w:b/>
          <w:sz w:val="28"/>
          <w:szCs w:val="24"/>
        </w:rPr>
        <w:drawing>
          <wp:anchor distT="0" distB="0" distL="114300" distR="114300" simplePos="0" relativeHeight="251659264" behindDoc="0" locked="0" layoutInCell="1" allowOverlap="1">
            <wp:simplePos x="0" y="0"/>
            <wp:positionH relativeFrom="margin">
              <wp:align>right</wp:align>
            </wp:positionH>
            <wp:positionV relativeFrom="paragraph">
              <wp:posOffset>-787400</wp:posOffset>
            </wp:positionV>
            <wp:extent cx="1617980" cy="1713230"/>
            <wp:effectExtent l="0" t="0" r="1270" b="1905"/>
            <wp:wrapNone/>
            <wp:docPr id="1" name="Afbeelding 1" descr="Afbeelding met embleem, symbool, logo, wap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embleem, symbool, logo, wapen&#10;&#10;Automatisch gegenereerde beschrijvi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8090" cy="1713102"/>
                    </a:xfrm>
                    <a:prstGeom prst="rect">
                      <a:avLst/>
                    </a:prstGeom>
                  </pic:spPr>
                </pic:pic>
              </a:graphicData>
            </a:graphic>
          </wp:anchor>
        </w:drawing>
      </w:r>
      <w:r>
        <w:rPr>
          <w:b/>
          <w:bCs/>
        </w:rPr>
        <w:t>Memo Verkeersbeleid op de Puikman</w:t>
      </w:r>
      <w:r>
        <w:rPr>
          <w:b/>
          <w:bCs/>
        </w:rPr>
        <w:tab/>
      </w:r>
      <w:r>
        <w:rPr>
          <w:b/>
          <w:bCs/>
        </w:rPr>
        <w:tab/>
      </w:r>
      <w:r>
        <w:rPr>
          <w:b/>
          <w:bCs/>
        </w:rPr>
        <w:tab/>
      </w:r>
      <w:r>
        <w:rPr>
          <w:b/>
          <w:bCs/>
        </w:rPr>
        <w:tab/>
      </w:r>
      <w:r>
        <w:rPr>
          <w:b/>
          <w:bCs/>
        </w:rPr>
        <w:tab/>
      </w:r>
      <w:r>
        <w:rPr>
          <w:b/>
          <w:bCs/>
        </w:rPr>
        <w:br w:type="textWrapping"/>
      </w:r>
      <w:r>
        <w:rPr>
          <w:b/>
          <w:bCs/>
        </w:rPr>
        <w:t>Vastgesteld in de bestuursvergadering van 27 juni</w:t>
      </w:r>
    </w:p>
    <w:p>
      <w:pPr>
        <w:pStyle w:val="40"/>
        <w:rPr>
          <w:b/>
          <w:bCs/>
        </w:rPr>
      </w:pPr>
    </w:p>
    <w:p>
      <w:pPr>
        <w:pStyle w:val="40"/>
        <w:rPr>
          <w:b/>
          <w:bCs/>
        </w:rPr>
      </w:pPr>
    </w:p>
    <w:p>
      <w:pPr>
        <w:pStyle w:val="40"/>
        <w:rPr>
          <w:b/>
          <w:bCs/>
        </w:rPr>
      </w:pPr>
      <w:r>
        <w:rPr>
          <w:b/>
          <w:bCs/>
        </w:rPr>
        <w:br w:type="textWrapping"/>
      </w:r>
      <w:r>
        <w:rPr>
          <w:b/>
          <w:bCs/>
        </w:rPr>
        <w:t xml:space="preserve">Inleiding </w:t>
      </w:r>
    </w:p>
    <w:p>
      <w:pPr>
        <w:pStyle w:val="40"/>
      </w:pPr>
      <w:r>
        <w:br w:type="textWrapping"/>
      </w:r>
      <w:r>
        <w:t xml:space="preserve">Op een sportcomplex kom je om te sporten. Bewegen staat daarbij centraal, dat is leuk en gezond. Al enige tijd wordt door sommige personen met de auto op het terrein gereden. Er zijn meerdere klachten bij het bestuur binnengekomen over auto’s die met een te hoge snelheid op het park rijden. Recent is bijna een meisje van drie jaar aangereden. </w:t>
      </w:r>
    </w:p>
    <w:p>
      <w:pPr>
        <w:pStyle w:val="40"/>
      </w:pPr>
      <w:r>
        <w:t xml:space="preserve">Daarnaast zien we dat fietsen (en bakfietsen, fatbikes) niet op de daarvoor bestemde plekken worden gestald. Hierdoor worden de doorgangen naar kantine, kleedkamers en velden erg gehinderd. Zorgelijker is echter dat ook de bereikbaarheid van het AED-apparaat (rechts van de ingang van de kleedkamers) wordt bemoeilijkt door geparkeerde fietsen onder de overkapping het lezen van het beeldscherm met de kleedkamerindeling. </w:t>
      </w:r>
    </w:p>
    <w:p>
      <w:pPr>
        <w:pStyle w:val="40"/>
      </w:pPr>
    </w:p>
    <w:p>
      <w:pPr>
        <w:pStyle w:val="40"/>
      </w:pPr>
      <w:r>
        <w:t xml:space="preserve">In het huurcontract dat Vitesse met de Gemeente Castricum heeft gesloten is in artikel 16 bepaald dat op het sportcomplex geen motorvoertuigen mogen rijden, met uitzondering van leveranciers en hulpdiensten. </w:t>
      </w:r>
    </w:p>
    <w:p>
      <w:pPr>
        <w:pStyle w:val="40"/>
      </w:pPr>
      <w:r>
        <w:t>Het is duidelijk dat Vitesse op dit punt in overtreding is. Ook is duidelijk dat het steeds meer normaal wordt gevonden dat met de auto het terrein op wordt gereden. Dit moet veranderen.</w:t>
      </w:r>
    </w:p>
    <w:p>
      <w:pPr>
        <w:pStyle w:val="40"/>
      </w:pPr>
    </w:p>
    <w:p>
      <w:pPr>
        <w:pStyle w:val="40"/>
      </w:pPr>
      <w:r>
        <w:t>Het bestuur ziet zich daarom genoodzaakt om een verkeersbeleid voor sportpark de Puikman op te stellen met regels voor het rijden en parkeren van auto’s e.d. op het park en voor het parkeren van fietsen, waaronder bakfietsen, scooters en fatbikes rond de gebouwen.</w:t>
      </w:r>
    </w:p>
    <w:p>
      <w:pPr>
        <w:pStyle w:val="40"/>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tc>
          <w:tcPr>
            <w:tcW w:w="9062" w:type="dxa"/>
          </w:tcPr>
          <w:p>
            <w:pPr>
              <w:pStyle w:val="40"/>
              <w:rPr>
                <w:b/>
                <w:bCs/>
              </w:rPr>
            </w:pPr>
            <w:bookmarkStart w:id="0" w:name="_Hlk170565089"/>
            <w:r>
              <w:rPr>
                <w:b/>
                <w:bCs/>
              </w:rPr>
              <w:t>Besluit verkeersbeleid sportpark De Puikman:</w:t>
            </w:r>
          </w:p>
          <w:p>
            <w:pPr>
              <w:pStyle w:val="40"/>
            </w:pPr>
            <w:r>
              <w:t xml:space="preserve">Het is niet toegestaan personenauto’s (en andere motorvoertuigen) te parkeren op het terrein van de Puikman. Daaronder valt ook het tijdelijk parkeren van auto’s in verband met het verzamelen voor een uitwedstrijd en het ophalen van spullen om mee te nemen naar een wedstrijd. </w:t>
            </w:r>
          </w:p>
          <w:p>
            <w:pPr>
              <w:pStyle w:val="40"/>
            </w:pPr>
            <w:r>
              <w:t xml:space="preserve">Fietsen, waaronder bakfietsen en fatbikes moeten worden gestald in de daarvoor aangewezen fietsenrekken en afgezette stallingsplekken.   </w:t>
            </w:r>
          </w:p>
        </w:tc>
      </w:tr>
      <w:bookmarkEnd w:id="0"/>
    </w:tbl>
    <w:p>
      <w:pPr>
        <w:pStyle w:val="40"/>
      </w:pPr>
    </w:p>
    <w:p>
      <w:pPr>
        <w:pStyle w:val="40"/>
      </w:pPr>
      <w:r>
        <w:t xml:space="preserve">We vragen aan (ouders van) jeugdspelers, leiders, trainers om dit besluit te respecteren en uit te voeren en het bestuur te helpen om dit proces te handhaven en dit te bespreken met hun teams. </w:t>
      </w:r>
    </w:p>
    <w:p>
      <w:pPr>
        <w:pStyle w:val="40"/>
      </w:pPr>
      <w:r>
        <w:t xml:space="preserve">Te laat komen voor een wedstrijd of een training is geen reden om met de auto het terrein op te rijden en deze daar te parkeren. Ook trainers en leiders dienen de auto te parkeren op het parkeerterrein.  We hopen hiermee de veiligheid op de Puikman en de bewustwording hiervan te vergroten.   </w:t>
      </w:r>
    </w:p>
    <w:p>
      <w:pPr>
        <w:pStyle w:val="40"/>
      </w:pPr>
    </w:p>
    <w:p>
      <w:pPr>
        <w:pStyle w:val="40"/>
        <w:rPr>
          <w:b/>
          <w:bCs/>
        </w:rPr>
      </w:pPr>
      <w:r>
        <w:rPr>
          <w:b/>
          <w:bCs/>
        </w:rPr>
        <w:t xml:space="preserve">Toelichting </w:t>
      </w:r>
    </w:p>
    <w:p>
      <w:pPr>
        <w:pStyle w:val="40"/>
        <w:rPr>
          <w:b/>
          <w:bCs/>
        </w:rPr>
      </w:pPr>
    </w:p>
    <w:p>
      <w:pPr>
        <w:pStyle w:val="40"/>
        <w:rPr>
          <w:b/>
          <w:bCs/>
        </w:rPr>
      </w:pPr>
      <w:r>
        <w:rPr>
          <w:b/>
          <w:bCs/>
        </w:rPr>
        <w:t>Auto’s en ander motorvoertuigen</w:t>
      </w:r>
    </w:p>
    <w:p>
      <w:pPr>
        <w:pStyle w:val="40"/>
        <w:numPr>
          <w:ilvl w:val="0"/>
          <w:numId w:val="1"/>
        </w:numPr>
      </w:pPr>
      <w:r>
        <w:t>Het wordt steeds meer een gewoonte van sommige mensen o</w:t>
      </w:r>
      <w:r>
        <w:rPr>
          <w:rFonts w:hint="default"/>
          <w:lang w:val="nl-NL"/>
        </w:rPr>
        <w:t>m</w:t>
      </w:r>
      <w:bookmarkStart w:id="1" w:name="_GoBack"/>
      <w:bookmarkEnd w:id="1"/>
      <w:r>
        <w:t xml:space="preserve"> de auto bij de kantine te parkeren tijdens of voorafgaand aan sportactiviteiten op het complex.</w:t>
      </w:r>
    </w:p>
    <w:p>
      <w:pPr>
        <w:pStyle w:val="40"/>
        <w:numPr>
          <w:ilvl w:val="0"/>
          <w:numId w:val="1"/>
        </w:numPr>
      </w:pPr>
      <w:r>
        <w:t xml:space="preserve">Er zijn klachten binnengekomen bij het bestuur over auto’s die met te hoge snelheid op het park rijden. Er is recent een meisje van drie jaar oud bijna aangereden. </w:t>
      </w:r>
    </w:p>
    <w:p>
      <w:pPr>
        <w:pStyle w:val="40"/>
        <w:numPr>
          <w:ilvl w:val="0"/>
          <w:numId w:val="1"/>
        </w:numPr>
      </w:pPr>
      <w:r>
        <w:t xml:space="preserve">De gemeente schrijft voor dat er geen auto’s op het park mogen rijden. </w:t>
      </w:r>
    </w:p>
    <w:p>
      <w:pPr>
        <w:pStyle w:val="40"/>
        <w:numPr>
          <w:ilvl w:val="0"/>
          <w:numId w:val="1"/>
        </w:numPr>
      </w:pPr>
      <w:r>
        <w:t>De maatregelen voor auto’s en andere motorenvoertuigen gelden op wedstrijddagen-en avonden en tijdens alle trainingen (jeugd, trainers en senioren).</w:t>
      </w:r>
    </w:p>
    <w:p>
      <w:pPr>
        <w:pStyle w:val="40"/>
        <w:ind w:left="720"/>
      </w:pPr>
    </w:p>
    <w:p>
      <w:pPr>
        <w:pStyle w:val="40"/>
        <w:rPr>
          <w:b/>
          <w:bCs/>
        </w:rPr>
      </w:pPr>
      <w:r>
        <w:rPr>
          <w:b/>
          <w:bCs/>
        </w:rPr>
        <w:t>Uitzonderingen</w:t>
      </w:r>
    </w:p>
    <w:p>
      <w:pPr>
        <w:pStyle w:val="40"/>
        <w:numPr>
          <w:ilvl w:val="0"/>
          <w:numId w:val="2"/>
        </w:numPr>
      </w:pPr>
      <w:r>
        <w:t>Er gelden uitzonderingen op het autoverbod voor:</w:t>
      </w:r>
    </w:p>
    <w:p>
      <w:pPr>
        <w:pStyle w:val="40"/>
        <w:numPr>
          <w:ilvl w:val="1"/>
          <w:numId w:val="2"/>
        </w:numPr>
      </w:pPr>
      <w:r>
        <w:t xml:space="preserve">Hulpdiensten </w:t>
      </w:r>
    </w:p>
    <w:p>
      <w:pPr>
        <w:pStyle w:val="40"/>
        <w:numPr>
          <w:ilvl w:val="1"/>
          <w:numId w:val="2"/>
        </w:numPr>
      </w:pPr>
      <w:r>
        <w:t xml:space="preserve">Bestemmingsverkeer voor laden en lossen </w:t>
      </w:r>
    </w:p>
    <w:p>
      <w:pPr>
        <w:pStyle w:val="40"/>
        <w:numPr>
          <w:ilvl w:val="1"/>
          <w:numId w:val="2"/>
        </w:numPr>
      </w:pPr>
      <w:r>
        <w:t>Gemeente voer-en werktuigen</w:t>
      </w:r>
      <w:r>
        <w:br w:type="textWrapping"/>
      </w:r>
    </w:p>
    <w:p>
      <w:pPr>
        <w:pStyle w:val="40"/>
        <w:numPr>
          <w:ilvl w:val="0"/>
          <w:numId w:val="2"/>
        </w:numPr>
      </w:pPr>
      <w:r>
        <w:t xml:space="preserve">Bij deze uitzonderingssituaties geldt een maximumsnelheid van 15 km per uur (stapvoets). </w:t>
      </w:r>
    </w:p>
    <w:p>
      <w:pPr>
        <w:pStyle w:val="40"/>
        <w:ind w:left="720"/>
      </w:pPr>
    </w:p>
    <w:p>
      <w:pPr>
        <w:pStyle w:val="40"/>
        <w:ind w:left="360"/>
      </w:pPr>
      <w:r>
        <w:t xml:space="preserve">Verder kan in overleg met het bestuur voor bijzondere gebeurtenissen worden afgesproken dat wordt gedoogd dat het autoverbod wordt overtreden. Denk aan het vervoeren van muziekinstallaties, BBQ-materiaal, tenten etc. in verband met evenementen. </w:t>
      </w:r>
      <w:r>
        <w:br w:type="textWrapping"/>
      </w:r>
      <w:r>
        <w:t xml:space="preserve">Het parkeerterrein bij de Puikman is voor ons om te parkeren. Op sommige speeldagen kan in verband met parkeerdrukte bij de Puikman worden uitgeweken naar het NS-station. </w:t>
      </w:r>
    </w:p>
    <w:p>
      <w:pPr>
        <w:pStyle w:val="40"/>
        <w:rPr>
          <w:b/>
          <w:bCs/>
        </w:rPr>
      </w:pPr>
    </w:p>
    <w:p>
      <w:pPr>
        <w:rPr>
          <w:b/>
          <w:bCs/>
        </w:rPr>
      </w:pPr>
      <w:r>
        <w:rPr>
          <w:b/>
          <w:bCs/>
        </w:rPr>
        <w:t>Fietsen</w:t>
      </w:r>
    </w:p>
    <w:p>
      <w:pPr>
        <w:pStyle w:val="40"/>
        <w:numPr>
          <w:ilvl w:val="0"/>
          <w:numId w:val="3"/>
        </w:numPr>
      </w:pPr>
      <w:r>
        <w:t xml:space="preserve">Het bestuur juicht het toe dat spelers en ouders van spelers op de fiets naar het park komen. Veel fietsen worden echter rond het pleintje en speeltuin, kris kras weggezet waardoor de doorgangen naar kantine, kleedkamers en velden erg worden gehinderd. </w:t>
      </w:r>
    </w:p>
    <w:p>
      <w:pPr>
        <w:pStyle w:val="40"/>
        <w:numPr>
          <w:ilvl w:val="0"/>
          <w:numId w:val="3"/>
        </w:numPr>
      </w:pPr>
      <w:r>
        <w:t>Ook het kunnen bereiken van het AED-apparaat (bij beeldscherm voor de kleedkamerindeling) wordt bemoeilijkt door geparkeerde fietsen. Dit kan ernstige gevolgen hebben in noodsituaties.</w:t>
      </w:r>
    </w:p>
    <w:p>
      <w:pPr>
        <w:pStyle w:val="40"/>
        <w:numPr>
          <w:ilvl w:val="0"/>
          <w:numId w:val="3"/>
        </w:numPr>
      </w:pPr>
      <w:r>
        <w:t xml:space="preserve">De regels is dat fietsen, waaronder bakfietsen, moeten worden gestald in de daarvoor aangewezen fietsenrekken en op de aangewezen stallingsplekken.   </w:t>
      </w:r>
    </w:p>
    <w:p>
      <w:pPr>
        <w:pStyle w:val="40"/>
        <w:numPr>
          <w:ilvl w:val="0"/>
          <w:numId w:val="3"/>
        </w:numPr>
      </w:pPr>
      <w:r>
        <w:t xml:space="preserve">Er zijn voldoende fietsenrekken beschikbaar als fietsen ordelijk in de stalling worden geplaatst. Er zullen bordjes worden opgehangen waarop staat waar je wel en niet je fiets mag parkeren. Voor bakfietsen is er al een aparte fietsvoorziening gemaakt rond de speeltuin. </w:t>
      </w:r>
    </w:p>
    <w:p>
      <w:pPr>
        <w:pStyle w:val="40"/>
        <w:numPr>
          <w:ilvl w:val="0"/>
          <w:numId w:val="3"/>
        </w:numPr>
      </w:pPr>
      <w:r>
        <w:t xml:space="preserve">Er zal op worden toegezien om het parkeren van fietsen e.d. in goede banen te leiden en zonodig worden eigenaars van fietsen e.d. verzocht hun fiets op de daarvoor bestemde plek te stallen. </w:t>
      </w:r>
    </w:p>
    <w:p>
      <w:pPr>
        <w:pStyle w:val="40"/>
        <w:numPr>
          <w:ilvl w:val="0"/>
          <w:numId w:val="3"/>
        </w:numPr>
      </w:pPr>
      <w:r>
        <w:t xml:space="preserve">Het toegangshek zal regelmatig dicht zijn, maar wel toegankelijk voor hulpdiensten (afspraken gemaakt over de sleutel). </w:t>
      </w:r>
    </w:p>
    <w:p>
      <w:pPr>
        <w:pStyle w:val="40"/>
        <w:numPr>
          <w:ilvl w:val="0"/>
          <w:numId w:val="3"/>
        </w:numPr>
      </w:pPr>
      <w:r>
        <w:t xml:space="preserve">Er zal een verkeersbord – verboden in te rijden – aan het hek worden gemonteerd. </w:t>
      </w:r>
      <w:r>
        <w:br w:type="textWrapping"/>
      </w:r>
    </w:p>
    <w:p>
      <w:pPr>
        <w:pStyle w:val="40"/>
      </w:pPr>
      <w:r>
        <w:t xml:space="preserve">Dit besluit is genomen door het bestuur op donderdag 27 juni 2024 en zal gelden </w:t>
      </w:r>
      <w:r>
        <w:rPr>
          <w:b/>
          <w:bCs/>
        </w:rPr>
        <w:t>vanaf</w:t>
      </w:r>
      <w:r>
        <w:rPr>
          <w:b/>
          <w:bCs/>
        </w:rPr>
        <w:br w:type="textWrapping"/>
      </w:r>
      <w:r>
        <w:rPr>
          <w:b/>
          <w:bCs/>
        </w:rPr>
        <w:t>1 augustus 2024</w:t>
      </w:r>
      <w:r>
        <w:t xml:space="preserve">. Het besluit zal worden opgenomen in het Huishoudelijk Reglement van R.K.S.V. Vitesse’22. De communicatie hierover gaat onder andere via de site en de commissies met het verzoek om de informatie naar de doelgroepen te delen. De bedoeling is dat ieder lid (en of ouder) hierover wordt geïnformeerd. </w:t>
      </w:r>
    </w:p>
    <w:p>
      <w:pPr>
        <w:pStyle w:val="40"/>
      </w:pPr>
    </w:p>
    <w:p>
      <w:pPr>
        <w:pStyle w:val="40"/>
      </w:pPr>
      <w:r>
        <w:rPr>
          <w:b/>
          <w:bCs/>
          <w:u w:val="single"/>
        </w:rPr>
        <w:t>Bijlage</w:t>
      </w:r>
      <w:r>
        <w:t xml:space="preserve"> voorbeelden aanwijzingen </w:t>
      </w:r>
      <w:r>
        <w:br w:type="textWrapping"/>
      </w:r>
    </w:p>
    <w:p>
      <w:pPr>
        <w:pStyle w:val="40"/>
      </w:pPr>
      <w:r>
        <w:rPr>
          <w:rFonts w:eastAsia="Times New Roman"/>
        </w:rPr>
        <w:drawing>
          <wp:inline distT="0" distB="0" distL="0" distR="0">
            <wp:extent cx="1163955" cy="828040"/>
            <wp:effectExtent l="0" t="0" r="0" b="0"/>
            <wp:docPr id="7441200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20010" name="Afbeelding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1188676" cy="845234"/>
                    </a:xfrm>
                    <a:prstGeom prst="rect">
                      <a:avLst/>
                    </a:prstGeom>
                    <a:noFill/>
                    <a:ln>
                      <a:noFill/>
                    </a:ln>
                  </pic:spPr>
                </pic:pic>
              </a:graphicData>
            </a:graphic>
          </wp:inline>
        </w:drawing>
      </w:r>
      <w:r>
        <w:t xml:space="preserve">    </w:t>
      </w:r>
      <w:r>
        <w:rPr>
          <w:rFonts w:eastAsia="Times New Roman"/>
        </w:rPr>
        <w:drawing>
          <wp:inline distT="0" distB="0" distL="0" distR="0">
            <wp:extent cx="1154430" cy="831215"/>
            <wp:effectExtent l="0" t="0" r="7620" b="6985"/>
            <wp:docPr id="173668796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87960" name="Afbeelding 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a:xfrm>
                      <a:off x="0" y="0"/>
                      <a:ext cx="1198389" cy="863089"/>
                    </a:xfrm>
                    <a:prstGeom prst="rect">
                      <a:avLst/>
                    </a:prstGeom>
                    <a:noFill/>
                    <a:ln>
                      <a:noFill/>
                    </a:ln>
                  </pic:spPr>
                </pic:pic>
              </a:graphicData>
            </a:graphic>
          </wp:inline>
        </w:drawing>
      </w:r>
      <w:r>
        <w:t xml:space="preserve">    </w:t>
      </w:r>
      <w:r>
        <w:rPr>
          <w:rFonts w:eastAsia="Times New Roman"/>
        </w:rPr>
        <w:drawing>
          <wp:inline distT="0" distB="0" distL="0" distR="0">
            <wp:extent cx="1168400" cy="821690"/>
            <wp:effectExtent l="0" t="0" r="0" b="0"/>
            <wp:docPr id="206077424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74244" name="Afbeelding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a:xfrm>
                      <a:off x="0" y="0"/>
                      <a:ext cx="1179824" cy="830098"/>
                    </a:xfrm>
                    <a:prstGeom prst="rect">
                      <a:avLst/>
                    </a:prstGeom>
                    <a:noFill/>
                    <a:ln>
                      <a:noFill/>
                    </a:ln>
                  </pic:spPr>
                </pic:pic>
              </a:graphicData>
            </a:graphic>
          </wp:inline>
        </w:drawing>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ptos">
    <w:altName w:val="苹方-简"/>
    <w:panose1 w:val="00000000000000000000"/>
    <w:charset w:val="86"/>
    <w:family w:val="swiss"/>
    <w:pitch w:val="default"/>
    <w:sig w:usb0="00000000" w:usb1="00000000" w:usb2="00000000" w:usb3="00000000" w:csb0="0000019F" w:csb1="00000000"/>
  </w:font>
  <w:font w:name="苹方-简">
    <w:panose1 w:val="020B0400000000000000"/>
    <w:charset w:val="86"/>
    <w:family w:val="auto"/>
    <w:pitch w:val="default"/>
    <w:sig w:usb0="00000000" w:usb1="00000000" w:usb2="00000000" w:usb3="00000000" w:csb0="00160000"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苹方-简"/>
    <w:panose1 w:val="00000000000000000000"/>
    <w:charset w:val="00"/>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30950"/>
    <w:multiLevelType w:val="multilevel"/>
    <w:tmpl w:val="032309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B70908"/>
    <w:multiLevelType w:val="multilevel"/>
    <w:tmpl w:val="08B709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34127A"/>
    <w:multiLevelType w:val="multilevel"/>
    <w:tmpl w:val="0E341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21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0D"/>
    <w:rsid w:val="00016646"/>
    <w:rsid w:val="000638F0"/>
    <w:rsid w:val="000C2311"/>
    <w:rsid w:val="00131420"/>
    <w:rsid w:val="0015680D"/>
    <w:rsid w:val="001A1901"/>
    <w:rsid w:val="002050B1"/>
    <w:rsid w:val="002257BF"/>
    <w:rsid w:val="00235FCF"/>
    <w:rsid w:val="002B6930"/>
    <w:rsid w:val="00315266"/>
    <w:rsid w:val="003718C5"/>
    <w:rsid w:val="003729CA"/>
    <w:rsid w:val="003920DD"/>
    <w:rsid w:val="003F633A"/>
    <w:rsid w:val="003F732B"/>
    <w:rsid w:val="00475EFD"/>
    <w:rsid w:val="004A2986"/>
    <w:rsid w:val="004B5041"/>
    <w:rsid w:val="004C215F"/>
    <w:rsid w:val="004D16F6"/>
    <w:rsid w:val="00623512"/>
    <w:rsid w:val="00682252"/>
    <w:rsid w:val="006F11FF"/>
    <w:rsid w:val="006F24F0"/>
    <w:rsid w:val="00744E27"/>
    <w:rsid w:val="007624C9"/>
    <w:rsid w:val="007D4CA3"/>
    <w:rsid w:val="007D5C3C"/>
    <w:rsid w:val="00855211"/>
    <w:rsid w:val="008E19E7"/>
    <w:rsid w:val="008E5DCE"/>
    <w:rsid w:val="008F1ED9"/>
    <w:rsid w:val="009321E6"/>
    <w:rsid w:val="0098677E"/>
    <w:rsid w:val="009D6032"/>
    <w:rsid w:val="00A30228"/>
    <w:rsid w:val="00AD59E6"/>
    <w:rsid w:val="00B64912"/>
    <w:rsid w:val="00BC4420"/>
    <w:rsid w:val="00BC687D"/>
    <w:rsid w:val="00C52788"/>
    <w:rsid w:val="00C84AB5"/>
    <w:rsid w:val="00D06A1D"/>
    <w:rsid w:val="00D60116"/>
    <w:rsid w:val="00D646EE"/>
    <w:rsid w:val="00DB0DF5"/>
    <w:rsid w:val="00DC6885"/>
    <w:rsid w:val="00F43B7B"/>
    <w:rsid w:val="00F85CBC"/>
    <w:rsid w:val="7CFEEA6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nl-NL"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38"/>
    <w:unhideWhenUsed/>
    <w:uiPriority w:val="99"/>
    <w:pPr>
      <w:spacing w:line="240" w:lineRule="auto"/>
    </w:pPr>
    <w:rPr>
      <w:sz w:val="20"/>
      <w:szCs w:val="20"/>
    </w:rPr>
  </w:style>
  <w:style w:type="paragraph" w:styleId="15">
    <w:name w:val="annotation subject"/>
    <w:basedOn w:val="14"/>
    <w:next w:val="14"/>
    <w:link w:val="39"/>
    <w:semiHidden/>
    <w:unhideWhenUsed/>
    <w:uiPriority w:val="99"/>
    <w:rPr>
      <w:b/>
      <w:bCs/>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Kop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Kop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Kop 3 Char"/>
    <w:basedOn w:val="11"/>
    <w:link w:val="4"/>
    <w:semiHidden/>
    <w:uiPriority w:val="9"/>
    <w:rPr>
      <w:rFonts w:eastAsiaTheme="majorEastAsia" w:cstheme="majorBidi"/>
      <w:color w:val="104862" w:themeColor="accent1" w:themeShade="BF"/>
      <w:sz w:val="28"/>
      <w:szCs w:val="28"/>
    </w:rPr>
  </w:style>
  <w:style w:type="character" w:customStyle="1" w:styleId="22">
    <w:name w:val="Kop 4 Char"/>
    <w:basedOn w:val="11"/>
    <w:link w:val="5"/>
    <w:semiHidden/>
    <w:uiPriority w:val="9"/>
    <w:rPr>
      <w:rFonts w:eastAsiaTheme="majorEastAsia" w:cstheme="majorBidi"/>
      <w:i/>
      <w:iCs/>
      <w:color w:val="104862" w:themeColor="accent1" w:themeShade="BF"/>
    </w:rPr>
  </w:style>
  <w:style w:type="character" w:customStyle="1" w:styleId="23">
    <w:name w:val="Kop 5 Char"/>
    <w:basedOn w:val="11"/>
    <w:link w:val="6"/>
    <w:semiHidden/>
    <w:uiPriority w:val="9"/>
    <w:rPr>
      <w:rFonts w:eastAsiaTheme="majorEastAsia" w:cstheme="majorBidi"/>
      <w:color w:val="104862" w:themeColor="accent1" w:themeShade="BF"/>
    </w:rPr>
  </w:style>
  <w:style w:type="character" w:customStyle="1" w:styleId="24">
    <w:name w:val="Kop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Kop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Kop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Kop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el Char"/>
    <w:basedOn w:val="11"/>
    <w:link w:val="18"/>
    <w:uiPriority w:val="10"/>
    <w:rPr>
      <w:rFonts w:asciiTheme="majorHAnsi" w:hAnsiTheme="majorHAnsi" w:eastAsiaTheme="majorEastAsia" w:cstheme="majorBidi"/>
      <w:spacing w:val="-10"/>
      <w:kern w:val="28"/>
      <w:sz w:val="56"/>
      <w:szCs w:val="56"/>
    </w:rPr>
  </w:style>
  <w:style w:type="character" w:customStyle="1" w:styleId="29">
    <w:name w:val="Ondertitel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at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Duidelijk citaat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paragraph" w:customStyle="1" w:styleId="37">
    <w:name w:val="Revision"/>
    <w:hidden/>
    <w:semiHidden/>
    <w:uiPriority w:val="99"/>
    <w:pPr>
      <w:spacing w:after="0" w:line="240" w:lineRule="auto"/>
    </w:pPr>
    <w:rPr>
      <w:rFonts w:asciiTheme="minorHAnsi" w:hAnsiTheme="minorHAnsi" w:eastAsiaTheme="minorHAnsi" w:cstheme="minorBidi"/>
      <w:kern w:val="2"/>
      <w:sz w:val="22"/>
      <w:szCs w:val="22"/>
      <w:lang w:val="nl-NL" w:eastAsia="en-US" w:bidi="ar-SA"/>
      <w14:ligatures w14:val="standardContextual"/>
    </w:rPr>
  </w:style>
  <w:style w:type="character" w:customStyle="1" w:styleId="38">
    <w:name w:val="Tekst opmerking Char"/>
    <w:basedOn w:val="11"/>
    <w:link w:val="14"/>
    <w:uiPriority w:val="99"/>
    <w:rPr>
      <w:sz w:val="20"/>
      <w:szCs w:val="20"/>
    </w:rPr>
  </w:style>
  <w:style w:type="character" w:customStyle="1" w:styleId="39">
    <w:name w:val="Onderwerp van opmerking Char"/>
    <w:basedOn w:val="38"/>
    <w:link w:val="15"/>
    <w:semiHidden/>
    <w:uiPriority w:val="99"/>
    <w:rPr>
      <w:b/>
      <w:bCs/>
      <w:sz w:val="20"/>
      <w:szCs w:val="20"/>
    </w:rPr>
  </w:style>
  <w:style w:type="paragraph" w:styleId="40">
    <w:name w:val="No Spacing"/>
    <w:qFormat/>
    <w:uiPriority w:val="1"/>
    <w:pPr>
      <w:spacing w:after="0" w:line="240" w:lineRule="auto"/>
    </w:pPr>
    <w:rPr>
      <w:rFonts w:asciiTheme="minorHAnsi" w:hAnsiTheme="minorHAnsi" w:eastAsiaTheme="minorHAnsi" w:cstheme="minorBidi"/>
      <w:kern w:val="2"/>
      <w:sz w:val="22"/>
      <w:szCs w:val="22"/>
      <w:lang w:val="nl-NL"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cid:1ECB4601-1EA6-4AF1-9197-7E064704123B" TargetMode="Externa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cid:FB3831F5-A737-4E52-BF9F-F5ABA4FB051E" TargetMode="External"/><Relationship Id="rId11" Type="http://schemas.openxmlformats.org/officeDocument/2006/relationships/image" Target="media/image4.png"/><Relationship Id="rId10" Type="http://schemas.openxmlformats.org/officeDocument/2006/relationships/image" Target="cid:DB212D8B-294B-4240-8D88-FEDC491E4FE7" TargetMode="Externa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838</Words>
  <Characters>4609</Characters>
  <Lines>38</Lines>
  <Paragraphs>10</Paragraphs>
  <TotalTime>11</TotalTime>
  <ScaleCrop>false</ScaleCrop>
  <LinksUpToDate>false</LinksUpToDate>
  <CharactersWithSpaces>5437</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2024-07-23T13:07:00Z</dcterms:created>
  <dc:creator>Gert Stoppels</dc:creator>
  <cp:lastModifiedBy>Joop Hollenberg</cp:lastModifiedBy>
  <cp:lastPrinted>2024-06-19T10:48:00Z</cp:lastPrinted>
  <dcterms:modified xsi:type="dcterms:W3CDTF">2024-07-26T11:39:01Z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