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5B0D" w14:textId="77777777" w:rsidR="0020548E" w:rsidRPr="0020548E" w:rsidRDefault="0020548E" w:rsidP="000D5E84">
      <w:pPr>
        <w:spacing w:after="240" w:line="240" w:lineRule="auto"/>
        <w:rPr>
          <w:rFonts w:ascii="Century Gothic" w:eastAsia="Times New Roman" w:hAnsi="Century Gothic" w:cs="Times New Roman"/>
          <w:b/>
          <w:lang w:eastAsia="nl-NL"/>
        </w:rPr>
      </w:pPr>
      <w:r>
        <w:rPr>
          <w:rFonts w:ascii="Century Gothic" w:eastAsia="Times New Roman" w:hAnsi="Century Gothic" w:cs="Times New Roman"/>
          <w:b/>
          <w:lang w:eastAsia="nl-NL"/>
        </w:rPr>
        <w:t>PREVENTIEVE MAATREGELEN TER VOORKOMING VAN ONGEWENST GEDRAG</w:t>
      </w:r>
    </w:p>
    <w:p w14:paraId="55D3BC3E" w14:textId="77777777" w:rsidR="0020548E" w:rsidRPr="0020548E" w:rsidRDefault="0020548E" w:rsidP="000D5E84">
      <w:pPr>
        <w:spacing w:after="240" w:line="240" w:lineRule="auto"/>
        <w:rPr>
          <w:rFonts w:ascii="Century Gothic" w:eastAsia="Times New Roman" w:hAnsi="Century Gothic" w:cs="Times New Roman"/>
          <w:b/>
          <w:u w:val="single"/>
          <w:lang w:eastAsia="nl-NL"/>
        </w:rPr>
      </w:pPr>
      <w:r w:rsidRPr="0020548E">
        <w:rPr>
          <w:rFonts w:ascii="Century Gothic" w:eastAsia="Times New Roman" w:hAnsi="Century Gothic" w:cs="Times New Roman"/>
          <w:b/>
          <w:u w:val="single"/>
          <w:lang w:eastAsia="nl-NL"/>
        </w:rPr>
        <w:t>GEDRAGSREGELS:</w:t>
      </w:r>
    </w:p>
    <w:p w14:paraId="36E96B0B" w14:textId="77777777" w:rsidR="005E061D" w:rsidRPr="000D5E84" w:rsidRDefault="005E061D" w:rsidP="000D5E84">
      <w:pPr>
        <w:spacing w:after="240" w:line="240" w:lineRule="auto"/>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sportbonden in Nederland nemen seksuele intimidatie serieus. NOC*NSF heeft gedragsregels voor sportbegeleiders opgesteld. Die regels zijn door alle landelijke sportbonden onderschreven. De regels zijn gemaakt om de risico's op ongewenst gedrag in de relatie pupil en trainer te verkleinen en ze fungeren als toetssteen voor het gedrag van begeleiders en sporters in concrete situaties. Hieronder vindt u de elf gedragsregels die worden onderschreven door alle landelijke sportorganisaties die zijn aangesloten bij NOC*NSF. </w:t>
      </w:r>
      <w:r w:rsidR="000D5E84">
        <w:rPr>
          <w:rFonts w:ascii="Century Gothic" w:eastAsia="Times New Roman" w:hAnsi="Century Gothic" w:cs="Times New Roman"/>
          <w:lang w:eastAsia="nl-NL"/>
        </w:rPr>
        <w:t>VV ’s-Gravendeel onderschrijft deze gedragsregels!</w:t>
      </w:r>
    </w:p>
    <w:p w14:paraId="33BC5AA4"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begeleider moet zorgen voor een omgeving en een sfeer waarbinnen de sporter zich veilig voelt. </w:t>
      </w:r>
    </w:p>
    <w:p w14:paraId="5BEE10A8"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begeleider onthoudt zich ervan de sporter te bejegenen op een wijze die de sporter in zijn waardigheid aantast, én verder in het </w:t>
      </w:r>
      <w:proofErr w:type="spellStart"/>
      <w:r w:rsidRPr="000D5E84">
        <w:rPr>
          <w:rFonts w:ascii="Century Gothic" w:eastAsia="Times New Roman" w:hAnsi="Century Gothic" w:cs="Times New Roman"/>
          <w:lang w:eastAsia="nl-NL"/>
        </w:rPr>
        <w:t>privé-leven</w:t>
      </w:r>
      <w:proofErr w:type="spellEnd"/>
      <w:r w:rsidRPr="000D5E84">
        <w:rPr>
          <w:rFonts w:ascii="Century Gothic" w:eastAsia="Times New Roman" w:hAnsi="Century Gothic" w:cs="Times New Roman"/>
          <w:lang w:eastAsia="nl-NL"/>
        </w:rPr>
        <w:t xml:space="preserve"> van de sporter door te dringen dan nodig is voor het gezamenlijk gestelde doel. </w:t>
      </w:r>
    </w:p>
    <w:p w14:paraId="5701D705"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De begeleider onthoudt zich van elke vorm van (</w:t>
      </w:r>
      <w:proofErr w:type="spellStart"/>
      <w:r w:rsidRPr="000D5E84">
        <w:rPr>
          <w:rFonts w:ascii="Century Gothic" w:eastAsia="Times New Roman" w:hAnsi="Century Gothic" w:cs="Times New Roman"/>
          <w:lang w:eastAsia="nl-NL"/>
        </w:rPr>
        <w:t>machts</w:t>
      </w:r>
      <w:proofErr w:type="spellEnd"/>
      <w:r w:rsidRPr="000D5E84">
        <w:rPr>
          <w:rFonts w:ascii="Century Gothic" w:eastAsia="Times New Roman" w:hAnsi="Century Gothic" w:cs="Times New Roman"/>
          <w:lang w:eastAsia="nl-NL"/>
        </w:rPr>
        <w:t xml:space="preserve">)misbruik of seksuele intimidatie tegenover de sporter. </w:t>
      </w:r>
    </w:p>
    <w:p w14:paraId="7CA2BA6C"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Seksuele handelingen en seksuele relaties tussen de begeleider en de jeugdige sporter tot zestien jaar zijn onder geen beding geoorloofd en worden beschouwd als seksueel misbruik. </w:t>
      </w:r>
    </w:p>
    <w:p w14:paraId="09D6B8C0"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begeleider mag de sporter niet op een zodanige wijze aanraken dat de sporter en/of de begeleider deze aanraking naar redelijke verwachting als seksueel of erotisch van aard zal ervaren, zoals doorgaans het geval zal zijn bij het doelbewust (doen) aanraken van geslachtsdelen, billen en borsten. </w:t>
      </w:r>
    </w:p>
    <w:p w14:paraId="0D7A4671"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begeleider onthoudt zich van seksueel getinte verbale intimiteiten. </w:t>
      </w:r>
    </w:p>
    <w:p w14:paraId="26ED025E"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De begeleider zal tijdens training(</w:t>
      </w:r>
      <w:proofErr w:type="spellStart"/>
      <w:r w:rsidRPr="000D5E84">
        <w:rPr>
          <w:rFonts w:ascii="Century Gothic" w:eastAsia="Times New Roman" w:hAnsi="Century Gothic" w:cs="Times New Roman"/>
          <w:lang w:eastAsia="nl-NL"/>
        </w:rPr>
        <w:t>sstages</w:t>
      </w:r>
      <w:proofErr w:type="spellEnd"/>
      <w:r w:rsidRPr="000D5E84">
        <w:rPr>
          <w:rFonts w:ascii="Century Gothic" w:eastAsia="Times New Roman" w:hAnsi="Century Gothic" w:cs="Times New Roman"/>
          <w:lang w:eastAsia="nl-NL"/>
        </w:rPr>
        <w:t xml:space="preserve">), wedstrijden en reizen gereserveerd en met respect omgaan met de sporter en met de ruimte waarin de sporter zich bevindt, zoals de kleedkamer of de hotelkamer. </w:t>
      </w:r>
    </w:p>
    <w:p w14:paraId="6D809528"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De begeleider heeft de plicht de sporter te beschermen tegen schade en (</w:t>
      </w:r>
      <w:proofErr w:type="spellStart"/>
      <w:r w:rsidRPr="000D5E84">
        <w:rPr>
          <w:rFonts w:ascii="Century Gothic" w:eastAsia="Times New Roman" w:hAnsi="Century Gothic" w:cs="Times New Roman"/>
          <w:lang w:eastAsia="nl-NL"/>
        </w:rPr>
        <w:t>machts</w:t>
      </w:r>
      <w:proofErr w:type="spellEnd"/>
      <w:r w:rsidRPr="000D5E84">
        <w:rPr>
          <w:rFonts w:ascii="Century Gothic" w:eastAsia="Times New Roman" w:hAnsi="Century Gothic" w:cs="Times New Roman"/>
          <w:lang w:eastAsia="nl-NL"/>
        </w:rPr>
        <w:t xml:space="preserve">)misbruik als gevolg van seksuele intimidatie. Daar waar bekend of geregeld is wie de belangen van de (jeugdige) sporter behartigt, is de begeleider verplicht met deze personen of instanties samen te werken, opdat zij hun werk goed kunnen uitoefenen. </w:t>
      </w:r>
    </w:p>
    <w:p w14:paraId="78E70488"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De begeleider zal de sporter geen (</w:t>
      </w:r>
      <w:proofErr w:type="spellStart"/>
      <w:r w:rsidRPr="000D5E84">
        <w:rPr>
          <w:rFonts w:ascii="Century Gothic" w:eastAsia="Times New Roman" w:hAnsi="Century Gothic" w:cs="Times New Roman"/>
          <w:lang w:eastAsia="nl-NL"/>
        </w:rPr>
        <w:t>im</w:t>
      </w:r>
      <w:proofErr w:type="spellEnd"/>
      <w:r w:rsidRPr="000D5E84">
        <w:rPr>
          <w:rFonts w:ascii="Century Gothic" w:eastAsia="Times New Roman" w:hAnsi="Century Gothic" w:cs="Times New Roman"/>
          <w:lang w:eastAsia="nl-NL"/>
        </w:rPr>
        <w:t xml:space="preserve">)materiële vergoedingen geven met de kennelijke bedoeling tegenprestaties te vragen. Ook de begeleider aanvaardt geen financiële beloning of geschenken van de sporter die in onevenredige verhouding tot de gebruikelijke dan wel afgesproken honorering staan. </w:t>
      </w:r>
    </w:p>
    <w:p w14:paraId="51A5CFEA" w14:textId="77777777" w:rsidR="005E061D" w:rsidRPr="000D5E84" w:rsidRDefault="005E061D" w:rsidP="0020548E">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 xml:space="preserve">De begeleider zal er actief op toezien dat deze regels worden nageleefd door iedereen die bij de sporter is betrokken. Indien hij gedrag signaleert dat niet in overeenstemming is met deze regels zal hij de betreffende persoon daarop aanspreken. </w:t>
      </w:r>
    </w:p>
    <w:p w14:paraId="61261D3F" w14:textId="77777777" w:rsidR="005E061D" w:rsidRPr="000D5E84" w:rsidRDefault="005E061D" w:rsidP="000D5E84">
      <w:pPr>
        <w:numPr>
          <w:ilvl w:val="0"/>
          <w:numId w:val="1"/>
        </w:numPr>
        <w:spacing w:before="100" w:beforeAutospacing="1" w:after="100" w:afterAutospacing="1" w:line="240" w:lineRule="auto"/>
        <w:ind w:left="300"/>
        <w:rPr>
          <w:rFonts w:ascii="Century Gothic" w:eastAsia="Times New Roman" w:hAnsi="Century Gothic" w:cs="Times New Roman"/>
          <w:lang w:eastAsia="nl-NL"/>
        </w:rPr>
      </w:pPr>
      <w:r w:rsidRPr="000D5E84">
        <w:rPr>
          <w:rFonts w:ascii="Century Gothic" w:eastAsia="Times New Roman" w:hAnsi="Century Gothic" w:cs="Times New Roman"/>
          <w:lang w:eastAsia="nl-NL"/>
        </w:rPr>
        <w:t>In die gevallen waarin de gedragsregels niet (direct) voorzien, ligt het binnen de verantwoordelijkheid van de begeleider in de geest hiervan te handelen</w:t>
      </w:r>
    </w:p>
    <w:p w14:paraId="0E3CE08B" w14:textId="77777777" w:rsidR="0044537B" w:rsidRPr="0020548E" w:rsidRDefault="0044537B" w:rsidP="0020548E">
      <w:pPr>
        <w:pStyle w:val="Lijstalinea"/>
        <w:ind w:left="283"/>
        <w:rPr>
          <w:rFonts w:ascii="Century Gothic" w:hAnsi="Century Gothic"/>
          <w:b/>
          <w:u w:val="single"/>
        </w:rPr>
      </w:pPr>
      <w:r w:rsidRPr="0020548E">
        <w:rPr>
          <w:rFonts w:ascii="Century Gothic" w:hAnsi="Century Gothic"/>
          <w:b/>
          <w:u w:val="single"/>
        </w:rPr>
        <w:t>Aannamebeleid</w:t>
      </w:r>
      <w:r w:rsidR="0020548E">
        <w:rPr>
          <w:rFonts w:ascii="Century Gothic" w:hAnsi="Century Gothic"/>
          <w:b/>
          <w:u w:val="single"/>
        </w:rPr>
        <w:t>:</w:t>
      </w:r>
    </w:p>
    <w:p w14:paraId="507EE220" w14:textId="77777777" w:rsidR="0020548E" w:rsidRPr="0020548E" w:rsidRDefault="0020548E" w:rsidP="0020548E">
      <w:pPr>
        <w:pStyle w:val="Lijstalinea"/>
        <w:ind w:left="283"/>
        <w:rPr>
          <w:rFonts w:ascii="Century Gothic" w:hAnsi="Century Gothic"/>
          <w:color w:val="464646"/>
        </w:rPr>
      </w:pPr>
    </w:p>
    <w:p w14:paraId="2EB5D738" w14:textId="77777777" w:rsidR="0044537B" w:rsidRP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 xml:space="preserve">Een pleger van seksueel misbruik herken je niet aan het uiterlijk. Vaak zijn het aardige en populaire mensen die zich binnen korte tijd onmisbaar weten te maken. Bekend is dat ze situaties opzoeken waarin ze makkelijk in contact komen met kwetsbaren zoals minderjarigen en mensen met een verstandelijke beperking. Daarbij maken ze gebruik van het vertrouwen van een organisatie. Een goed aannamebeleid kan ernstige problemen voorkomen. Door het hebben van aannamebeleid zullen mensen met verkeerde bedoelingen eerder afgeschrikt worden om binnen een sportorganisatie een </w:t>
      </w:r>
      <w:r w:rsidRPr="0020548E">
        <w:rPr>
          <w:rFonts w:ascii="Century Gothic" w:hAnsi="Century Gothic"/>
          <w:color w:val="464646"/>
        </w:rPr>
        <w:lastRenderedPageBreak/>
        <w:t>functie te vervullen. Daarom doorlopen wij onderstaande stappen met nieuwe vrijwilligers:</w:t>
      </w:r>
    </w:p>
    <w:p w14:paraId="110E40E9" w14:textId="77777777" w:rsid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we houden</w:t>
      </w:r>
      <w:r w:rsidR="0020548E">
        <w:rPr>
          <w:rFonts w:ascii="Century Gothic" w:hAnsi="Century Gothic"/>
          <w:color w:val="464646"/>
        </w:rPr>
        <w:t xml:space="preserve"> een kennismakingsgesprek.</w:t>
      </w:r>
    </w:p>
    <w:p w14:paraId="6ADCDBA5" w14:textId="77777777" w:rsid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we checken referenties; we bellen eventueel de club waar de vrijwilliger vandaan komt.</w:t>
      </w:r>
    </w:p>
    <w:p w14:paraId="35E34134" w14:textId="77777777" w:rsid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we laten een VOG aanvragen en herhalen dat elke 3-5 jaar.</w:t>
      </w:r>
    </w:p>
    <w:p w14:paraId="6A492FE5" w14:textId="77777777" w:rsid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 xml:space="preserve">we maken de </w:t>
      </w:r>
      <w:r w:rsidRPr="00826D57">
        <w:rPr>
          <w:rFonts w:ascii="Century Gothic" w:hAnsi="Century Gothic"/>
        </w:rPr>
        <w:t>begeleider</w:t>
      </w:r>
      <w:r w:rsidRPr="0020548E">
        <w:rPr>
          <w:rFonts w:ascii="Century Gothic" w:hAnsi="Century Gothic"/>
          <w:color w:val="464646"/>
        </w:rPr>
        <w:t xml:space="preserve"> lid van de bond en als dat niet kan, laten we de begeleider een VOT (Verklaring onderwerping Tuchtrecht) tekenen. Daarmee valt begeleider onder het tuchtrecht van de bond en is hij daarvan op de hoogte.</w:t>
      </w:r>
    </w:p>
    <w:p w14:paraId="14BF5363" w14:textId="77777777" w:rsidR="0044537B" w:rsidRPr="0020548E" w:rsidRDefault="0044537B" w:rsidP="0020548E">
      <w:pPr>
        <w:pStyle w:val="Lijstalinea"/>
        <w:numPr>
          <w:ilvl w:val="0"/>
          <w:numId w:val="1"/>
        </w:numPr>
        <w:ind w:left="283"/>
        <w:rPr>
          <w:rFonts w:ascii="Century Gothic" w:hAnsi="Century Gothic"/>
          <w:color w:val="464646"/>
        </w:rPr>
      </w:pPr>
      <w:r w:rsidRPr="0020548E">
        <w:rPr>
          <w:rFonts w:ascii="Century Gothic" w:hAnsi="Century Gothic"/>
          <w:color w:val="464646"/>
        </w:rPr>
        <w:t>we maken de begeleider bekend met de gedragsregels (zie hierboven).</w:t>
      </w:r>
    </w:p>
    <w:p w14:paraId="0AEEC5B9" w14:textId="77777777" w:rsidR="00826D57" w:rsidRDefault="00826D57" w:rsidP="0020548E">
      <w:pPr>
        <w:tabs>
          <w:tab w:val="left" w:pos="720"/>
        </w:tabs>
        <w:ind w:left="283"/>
        <w:rPr>
          <w:rFonts w:ascii="Century Gothic" w:hAnsi="Century Gothic"/>
        </w:rPr>
      </w:pPr>
      <w:r w:rsidRPr="00826D57">
        <w:rPr>
          <w:rStyle w:val="Zwaar"/>
          <w:rFonts w:ascii="Century Gothic" w:hAnsi="Century Gothic"/>
          <w:u w:val="single"/>
        </w:rPr>
        <w:t>Vertrouwenspersoon</w:t>
      </w:r>
      <w:r w:rsidRPr="00826D57">
        <w:rPr>
          <w:rFonts w:ascii="Century Gothic" w:hAnsi="Century Gothic"/>
        </w:rPr>
        <w:t xml:space="preserve"> </w:t>
      </w:r>
    </w:p>
    <w:p w14:paraId="384B35E4" w14:textId="77777777" w:rsidR="001062D4" w:rsidRDefault="00826D57" w:rsidP="0020548E">
      <w:pPr>
        <w:tabs>
          <w:tab w:val="left" w:pos="720"/>
        </w:tabs>
        <w:ind w:left="283"/>
        <w:rPr>
          <w:rFonts w:ascii="Century Gothic" w:hAnsi="Century Gothic"/>
        </w:rPr>
      </w:pPr>
      <w:r w:rsidRPr="00826D57">
        <w:rPr>
          <w:rFonts w:ascii="Century Gothic" w:hAnsi="Century Gothic"/>
        </w:rPr>
        <w:br/>
        <w:t xml:space="preserve">Iedereen die lid is van een sportvereniging in Nederland kan gratis een beroep op hen doen. Er zijn vertrouwenspersonen voor slachtoffers van seksuele intimidatie, maar er zijn ook vertrouwenspersonen voor beschuldigden. Daarnaast zijn er adviseurs voor mensen die zelf geen slachtoffer zijn, maar te maken krijgen met een vermoeden, melding of klacht (zoals een bestuurder of een vertrouwenscontactpersoon). De vertrouwenspersoon luistert naar je verhaal en helpt je zoeken naar mogelijkheden om de situatie op te lossen. Informatie wordt vertrouwelijk behandeld en er gebeurt niets wat je niet weet. De vertrouwenspersoon kan je helpen om een klacht in te dienen bij de vereniging, sportbond of politie. Maar gewoon even praten kan ook. </w:t>
      </w:r>
      <w:r w:rsidRPr="00826D57">
        <w:rPr>
          <w:rFonts w:ascii="Century Gothic" w:hAnsi="Century Gothic"/>
        </w:rPr>
        <w:br/>
      </w:r>
      <w:r w:rsidRPr="00826D57">
        <w:rPr>
          <w:rFonts w:ascii="Century Gothic" w:hAnsi="Century Gothic"/>
        </w:rPr>
        <w:br/>
        <w:t xml:space="preserve">In contact komen met een vertrouwenspersoon? </w:t>
      </w:r>
      <w:r w:rsidRPr="00826D57">
        <w:rPr>
          <w:rFonts w:ascii="Century Gothic" w:hAnsi="Century Gothic"/>
        </w:rPr>
        <w:br/>
        <w:t xml:space="preserve">Bij het NOC*NSF Vertrouwenspunt Sport (0900 - 2025590, € 0,10 per minuut). Het Vertrouwenspunt Sport is bereikbaar van maandag t/m vrijdag van 08.00 tot 22.00 uur en op zaterdag van 12.00 tot 16.00 uur. Op zondag is er geen bereikbaarheid. Of ga naar </w:t>
      </w:r>
      <w:hyperlink r:id="rId6" w:history="1">
        <w:r w:rsidRPr="00826D57">
          <w:rPr>
            <w:rFonts w:ascii="Century Gothic" w:hAnsi="Century Gothic"/>
            <w:b/>
            <w:bCs/>
          </w:rPr>
          <w:t>www.nocnsf.nl/vertrouwenspuntsport</w:t>
        </w:r>
      </w:hyperlink>
      <w:r w:rsidRPr="00826D57">
        <w:rPr>
          <w:rFonts w:ascii="Century Gothic" w:hAnsi="Century Gothic"/>
        </w:rPr>
        <w:t xml:space="preserve"> voor alle informatie. </w:t>
      </w:r>
      <w:r w:rsidRPr="00826D57">
        <w:rPr>
          <w:rFonts w:ascii="Century Gothic" w:hAnsi="Century Gothic"/>
        </w:rPr>
        <w:br/>
      </w:r>
      <w:r w:rsidRPr="00826D57">
        <w:rPr>
          <w:rFonts w:ascii="Century Gothic" w:hAnsi="Century Gothic"/>
        </w:rPr>
        <w:br/>
      </w:r>
      <w:r w:rsidRPr="00826D57">
        <w:rPr>
          <w:rStyle w:val="Zwaar"/>
          <w:rFonts w:ascii="Century Gothic" w:hAnsi="Century Gothic"/>
          <w:u w:val="single"/>
        </w:rPr>
        <w:t>Vertrouwenspersonen voor slachtoffers (en ouders van slachtoffers)</w:t>
      </w:r>
      <w:r w:rsidRPr="00826D57">
        <w:rPr>
          <w:rFonts w:ascii="Century Gothic" w:hAnsi="Century Gothic"/>
        </w:rPr>
        <w:t xml:space="preserve"> </w:t>
      </w:r>
      <w:r w:rsidRPr="00826D57">
        <w:rPr>
          <w:rFonts w:ascii="Century Gothic" w:hAnsi="Century Gothic"/>
        </w:rPr>
        <w:br/>
        <w:t xml:space="preserve">Voor slachtoffers van seksuele intimidatie zijn er speciale vertrouwenspersonen. De vertrouwenspersonen (zowel mannen als vrouwen) zijn onafhankelijk, kennen de sportwereld en zijn opgeleid om dit vertrouwenswerk te doen. </w:t>
      </w:r>
      <w:r w:rsidRPr="00826D57">
        <w:rPr>
          <w:rFonts w:ascii="Century Gothic" w:hAnsi="Century Gothic"/>
        </w:rPr>
        <w:br/>
      </w:r>
      <w:r w:rsidRPr="00826D57">
        <w:rPr>
          <w:rFonts w:ascii="Century Gothic" w:hAnsi="Century Gothic"/>
        </w:rPr>
        <w:br/>
      </w:r>
      <w:r w:rsidRPr="00826D57">
        <w:rPr>
          <w:rStyle w:val="Nadruk"/>
          <w:rFonts w:ascii="Century Gothic" w:hAnsi="Century Gothic"/>
        </w:rPr>
        <w:t>Wat doet de vertrouwenspersoon voor slachtoffers?</w:t>
      </w:r>
      <w:r w:rsidRPr="00826D57">
        <w:rPr>
          <w:rFonts w:ascii="Century Gothic" w:hAnsi="Century Gothic"/>
        </w:rPr>
        <w:t xml:space="preserve"> </w:t>
      </w:r>
      <w:r w:rsidRPr="00826D57">
        <w:rPr>
          <w:rFonts w:ascii="Century Gothic" w:hAnsi="Century Gothic"/>
        </w:rPr>
        <w:br/>
        <w:t xml:space="preserve">Hij of zij luistert naar je verhaal en helpt je zoeken naar mogelijkheden om de situatie op te lossen. Informatie wordt strikt vertrouwelijk behandeld en er gebeurt niets wat je niet weet. De vertrouwenspersoon kan je helpen om een klacht in te dienen bij de vereniging, sportbond of politie. Maar gewoon even praten kan ook. </w:t>
      </w:r>
      <w:r w:rsidRPr="00826D57">
        <w:rPr>
          <w:rFonts w:ascii="Century Gothic" w:hAnsi="Century Gothic"/>
        </w:rPr>
        <w:br/>
      </w:r>
      <w:r w:rsidRPr="00826D57">
        <w:rPr>
          <w:rFonts w:ascii="Century Gothic" w:hAnsi="Century Gothic"/>
        </w:rPr>
        <w:br/>
      </w:r>
      <w:r w:rsidRPr="00826D57">
        <w:rPr>
          <w:rStyle w:val="Zwaar"/>
          <w:rFonts w:ascii="Century Gothic" w:hAnsi="Century Gothic"/>
          <w:u w:val="single"/>
        </w:rPr>
        <w:t>Vertrouwenspersonen voor beschuldigden</w:t>
      </w:r>
      <w:r w:rsidRPr="00826D57">
        <w:rPr>
          <w:rFonts w:ascii="Century Gothic" w:hAnsi="Century Gothic"/>
        </w:rPr>
        <w:t xml:space="preserve"> </w:t>
      </w:r>
      <w:r w:rsidRPr="00826D57">
        <w:rPr>
          <w:rFonts w:ascii="Century Gothic" w:hAnsi="Century Gothic"/>
        </w:rPr>
        <w:br/>
        <w:t xml:space="preserve">Er zijn vertrouwenspersonen voor beschuldigden. Zij zijn er voor mensen die daadwerkelijk van seksuele intimidatie worden beschuldigd. Maar bij hen kunnen ook mensen terecht die zich afvragen of ze misschien de grens van het toelaatbare overschrijden. Iedereen die behoefte heeft aan een vertrouwelijk gesprek over dit onderwerp, of ondersteuning wil bij de behandeling van een klacht die tegen hem/haar is ingediend, kan gratis een beroep op hen doen. </w:t>
      </w:r>
      <w:r w:rsidRPr="00826D57">
        <w:rPr>
          <w:rFonts w:ascii="Century Gothic" w:hAnsi="Century Gothic"/>
        </w:rPr>
        <w:br/>
      </w:r>
      <w:r w:rsidRPr="00826D57">
        <w:rPr>
          <w:rFonts w:ascii="Century Gothic" w:hAnsi="Century Gothic"/>
        </w:rPr>
        <w:br/>
      </w:r>
      <w:r w:rsidRPr="00826D57">
        <w:rPr>
          <w:rStyle w:val="Nadruk"/>
          <w:rFonts w:ascii="Century Gothic" w:hAnsi="Century Gothic"/>
        </w:rPr>
        <w:t xml:space="preserve">Wat doet de vertrouwenspersoon voor </w:t>
      </w:r>
      <w:proofErr w:type="spellStart"/>
      <w:r w:rsidRPr="00826D57">
        <w:rPr>
          <w:rStyle w:val="Nadruk"/>
          <w:rFonts w:ascii="Century Gothic" w:hAnsi="Century Gothic"/>
        </w:rPr>
        <w:t>beschuldigenden</w:t>
      </w:r>
      <w:proofErr w:type="spellEnd"/>
      <w:r w:rsidRPr="00826D57">
        <w:rPr>
          <w:rStyle w:val="Nadruk"/>
          <w:rFonts w:ascii="Century Gothic" w:hAnsi="Century Gothic"/>
        </w:rPr>
        <w:t>?</w:t>
      </w:r>
      <w:r w:rsidRPr="00826D57">
        <w:rPr>
          <w:rFonts w:ascii="Century Gothic" w:hAnsi="Century Gothic"/>
        </w:rPr>
        <w:t xml:space="preserve"> </w:t>
      </w:r>
      <w:r w:rsidRPr="00826D57">
        <w:rPr>
          <w:rFonts w:ascii="Century Gothic" w:hAnsi="Century Gothic"/>
        </w:rPr>
        <w:br/>
        <w:t xml:space="preserve">De vertrouwenspersonen zijn geen advocaten voor beschuldigden. Ook spelen zij niet de rol van politieagent, rechter of therapeut. Ze bieden wel een luisterend oor en </w:t>
      </w:r>
      <w:r w:rsidRPr="00826D57">
        <w:rPr>
          <w:rFonts w:ascii="Century Gothic" w:hAnsi="Century Gothic"/>
        </w:rPr>
        <w:lastRenderedPageBreak/>
        <w:t xml:space="preserve">zoeken samen met jou naar oplossingen. Alle informatie wordt strikt vertrouwelijk behandeld. De vertrouwenspersonen kunnen beschuldigden ook ondersteunen bij gesprekken naar aanleiding van een klacht. </w:t>
      </w:r>
      <w:r w:rsidRPr="00826D57">
        <w:rPr>
          <w:rFonts w:ascii="Century Gothic" w:hAnsi="Century Gothic"/>
        </w:rPr>
        <w:br/>
      </w:r>
      <w:r w:rsidRPr="00826D57">
        <w:rPr>
          <w:rFonts w:ascii="Century Gothic" w:hAnsi="Century Gothic"/>
        </w:rPr>
        <w:br/>
      </w:r>
      <w:r w:rsidRPr="00826D57">
        <w:rPr>
          <w:rStyle w:val="Zwaar"/>
          <w:rFonts w:ascii="Century Gothic" w:hAnsi="Century Gothic"/>
          <w:u w:val="single"/>
        </w:rPr>
        <w:t>Adviseurs</w:t>
      </w:r>
      <w:r w:rsidRPr="00826D57">
        <w:rPr>
          <w:rFonts w:ascii="Century Gothic" w:hAnsi="Century Gothic"/>
        </w:rPr>
        <w:t xml:space="preserve"> </w:t>
      </w:r>
      <w:r w:rsidRPr="00826D57">
        <w:rPr>
          <w:rFonts w:ascii="Century Gothic" w:hAnsi="Century Gothic"/>
        </w:rPr>
        <w:br/>
        <w:t xml:space="preserve">Als je zelf geen slachtoffer bent van seksuele intimidatie, maar wel te maken hebt met een vermoeden, melding of klacht, kun je terecht bij een speciale adviseur. Verenigingsbestuurders, trainers, leden, bonden en ook ouders van sporters kunnen gratis een beroep op hen doen. Adviseurs zijn onafhankelijk, kennen de sportwereld en zijn opgeleid om dit werk te doen. </w:t>
      </w:r>
      <w:r w:rsidRPr="00826D57">
        <w:rPr>
          <w:rFonts w:ascii="Century Gothic" w:hAnsi="Century Gothic"/>
        </w:rPr>
        <w:br/>
      </w:r>
      <w:r w:rsidRPr="00826D57">
        <w:rPr>
          <w:rFonts w:ascii="Century Gothic" w:hAnsi="Century Gothic"/>
        </w:rPr>
        <w:br/>
      </w:r>
      <w:r w:rsidRPr="00826D57">
        <w:rPr>
          <w:rStyle w:val="Nadruk"/>
          <w:rFonts w:ascii="Century Gothic" w:hAnsi="Century Gothic"/>
        </w:rPr>
        <w:t>Wat doet de adviseur?</w:t>
      </w:r>
      <w:r w:rsidRPr="00826D57">
        <w:rPr>
          <w:rFonts w:ascii="Century Gothic" w:hAnsi="Century Gothic"/>
        </w:rPr>
        <w:t xml:space="preserve"> </w:t>
      </w:r>
      <w:r w:rsidRPr="00826D57">
        <w:rPr>
          <w:rFonts w:ascii="Century Gothic" w:hAnsi="Century Gothic"/>
        </w:rPr>
        <w:br/>
        <w:t xml:space="preserve">Met de adviseur bespreek je de situatie waarmee je te maken hebt. Vervolgens adviseert hij of zij je over de stappen die je kunt nemen, afhankelijk van het doel dat je wilt bereiken. Alle informatie wordt strikt vertrouwelijk behandeld. Je krijgt advies, maar het blijft aan jou om te bepalen wat je doet. De adviseurs kunnen ook de vereniging of bond ondersteunen en adviseren bij het ontwikkelen van een vaste procedure, waarmee kan worden </w:t>
      </w:r>
      <w:r w:rsidRPr="001062D4">
        <w:rPr>
          <w:rFonts w:ascii="Century Gothic" w:hAnsi="Century Gothic"/>
        </w:rPr>
        <w:t>opgetred</w:t>
      </w:r>
      <w:r w:rsidR="001062D4">
        <w:rPr>
          <w:rFonts w:ascii="Century Gothic" w:hAnsi="Century Gothic"/>
        </w:rPr>
        <w:t>en.</w:t>
      </w:r>
    </w:p>
    <w:p w14:paraId="369989FB" w14:textId="77777777" w:rsidR="001062D4" w:rsidRDefault="001062D4" w:rsidP="0020548E">
      <w:pPr>
        <w:tabs>
          <w:tab w:val="left" w:pos="720"/>
        </w:tabs>
        <w:ind w:left="283"/>
        <w:rPr>
          <w:rFonts w:ascii="Century Gothic" w:hAnsi="Century Gothic"/>
        </w:rPr>
      </w:pPr>
    </w:p>
    <w:p w14:paraId="2A53234A" w14:textId="756FEF33" w:rsidR="001062D4" w:rsidRDefault="001062D4" w:rsidP="0020548E">
      <w:pPr>
        <w:tabs>
          <w:tab w:val="left" w:pos="720"/>
        </w:tabs>
        <w:ind w:left="283"/>
        <w:rPr>
          <w:rFonts w:ascii="Century Gothic" w:hAnsi="Century Gothic"/>
        </w:rPr>
      </w:pPr>
      <w:r>
        <w:rPr>
          <w:rFonts w:ascii="Century Gothic" w:hAnsi="Century Gothic"/>
        </w:rPr>
        <w:t xml:space="preserve">De link naar onze </w:t>
      </w:r>
      <w:proofErr w:type="spellStart"/>
      <w:r>
        <w:rPr>
          <w:rFonts w:ascii="Century Gothic" w:hAnsi="Century Gothic"/>
        </w:rPr>
        <w:t>vertrouwenspresoon</w:t>
      </w:r>
      <w:proofErr w:type="spellEnd"/>
      <w:r>
        <w:rPr>
          <w:rFonts w:ascii="Century Gothic" w:hAnsi="Century Gothic"/>
        </w:rPr>
        <w:t xml:space="preserve"> bij VV ’s-Gravendeel;</w:t>
      </w:r>
    </w:p>
    <w:p w14:paraId="36735A17" w14:textId="77777777" w:rsidR="001062D4" w:rsidRDefault="001062D4" w:rsidP="0020548E">
      <w:pPr>
        <w:tabs>
          <w:tab w:val="left" w:pos="720"/>
        </w:tabs>
        <w:ind w:left="283"/>
        <w:rPr>
          <w:rFonts w:ascii="Century Gothic" w:hAnsi="Century Gothic"/>
        </w:rPr>
      </w:pPr>
    </w:p>
    <w:p w14:paraId="05240BFF" w14:textId="5A81F524" w:rsidR="00887C00" w:rsidRPr="001062D4" w:rsidRDefault="001062D4" w:rsidP="0020548E">
      <w:pPr>
        <w:tabs>
          <w:tab w:val="left" w:pos="720"/>
        </w:tabs>
        <w:ind w:left="283"/>
        <w:rPr>
          <w:sz w:val="24"/>
          <w:szCs w:val="24"/>
        </w:rPr>
      </w:pPr>
      <w:r w:rsidRPr="001062D4">
        <w:rPr>
          <w:rFonts w:ascii="Verdana" w:hAnsi="Verdana"/>
          <w:sz w:val="24"/>
          <w:szCs w:val="24"/>
        </w:rPr>
        <w:t>https://www.vvsgravendeel.nl/1656/vertrouwenspersoon-vcp/</w:t>
      </w:r>
      <w:r w:rsidR="00826D57" w:rsidRPr="001062D4">
        <w:rPr>
          <w:rFonts w:ascii="Verdana" w:hAnsi="Verdana"/>
          <w:sz w:val="24"/>
          <w:szCs w:val="24"/>
        </w:rPr>
        <w:t>gen vormen van seksuele intimidatie.</w:t>
      </w:r>
      <w:r w:rsidR="0020548E" w:rsidRPr="001062D4">
        <w:rPr>
          <w:sz w:val="24"/>
          <w:szCs w:val="24"/>
        </w:rPr>
        <w:tab/>
      </w:r>
    </w:p>
    <w:sectPr w:rsidR="00887C00" w:rsidRPr="001062D4" w:rsidSect="0020548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0505"/>
    <w:multiLevelType w:val="multilevel"/>
    <w:tmpl w:val="A2DC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17AA6"/>
    <w:multiLevelType w:val="multilevel"/>
    <w:tmpl w:val="A2DC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93676">
    <w:abstractNumId w:val="0"/>
  </w:num>
  <w:num w:numId="2" w16cid:durableId="208433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1D"/>
    <w:rsid w:val="000D5E84"/>
    <w:rsid w:val="001062D4"/>
    <w:rsid w:val="0020548E"/>
    <w:rsid w:val="0044537B"/>
    <w:rsid w:val="004975E5"/>
    <w:rsid w:val="005E061D"/>
    <w:rsid w:val="006157FB"/>
    <w:rsid w:val="00826D57"/>
    <w:rsid w:val="00887C00"/>
    <w:rsid w:val="00C83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830C"/>
  <w15:chartTrackingRefBased/>
  <w15:docId w15:val="{4B5942A8-F17E-4DCA-A5A8-34D3F31A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4537B"/>
    <w:pPr>
      <w:spacing w:before="100" w:beforeAutospacing="1" w:after="15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0548E"/>
    <w:pPr>
      <w:ind w:left="720"/>
      <w:contextualSpacing/>
    </w:pPr>
  </w:style>
  <w:style w:type="character" w:styleId="Nadruk">
    <w:name w:val="Emphasis"/>
    <w:basedOn w:val="Standaardalinea-lettertype"/>
    <w:uiPriority w:val="20"/>
    <w:qFormat/>
    <w:rsid w:val="00826D57"/>
    <w:rPr>
      <w:b w:val="0"/>
      <w:bCs w:val="0"/>
      <w:i/>
      <w:iCs/>
    </w:rPr>
  </w:style>
  <w:style w:type="character" w:styleId="Zwaar">
    <w:name w:val="Strong"/>
    <w:basedOn w:val="Standaardalinea-lettertype"/>
    <w:uiPriority w:val="22"/>
    <w:qFormat/>
    <w:rsid w:val="00826D5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14818">
      <w:bodyDiv w:val="1"/>
      <w:marLeft w:val="0"/>
      <w:marRight w:val="0"/>
      <w:marTop w:val="0"/>
      <w:marBottom w:val="0"/>
      <w:divBdr>
        <w:top w:val="none" w:sz="0" w:space="0" w:color="auto"/>
        <w:left w:val="none" w:sz="0" w:space="0" w:color="auto"/>
        <w:bottom w:val="none" w:sz="0" w:space="0" w:color="auto"/>
        <w:right w:val="none" w:sz="0" w:space="0" w:color="auto"/>
      </w:divBdr>
      <w:divsChild>
        <w:div w:id="1965306685">
          <w:marLeft w:val="0"/>
          <w:marRight w:val="0"/>
          <w:marTop w:val="0"/>
          <w:marBottom w:val="0"/>
          <w:divBdr>
            <w:top w:val="none" w:sz="0" w:space="0" w:color="auto"/>
            <w:left w:val="none" w:sz="0" w:space="0" w:color="auto"/>
            <w:bottom w:val="none" w:sz="0" w:space="0" w:color="auto"/>
            <w:right w:val="none" w:sz="0" w:space="0" w:color="auto"/>
          </w:divBdr>
          <w:divsChild>
            <w:div w:id="1374427271">
              <w:marLeft w:val="0"/>
              <w:marRight w:val="0"/>
              <w:marTop w:val="0"/>
              <w:marBottom w:val="0"/>
              <w:divBdr>
                <w:top w:val="none" w:sz="0" w:space="0" w:color="auto"/>
                <w:left w:val="none" w:sz="0" w:space="0" w:color="auto"/>
                <w:bottom w:val="none" w:sz="0" w:space="0" w:color="auto"/>
                <w:right w:val="none" w:sz="0" w:space="0" w:color="auto"/>
              </w:divBdr>
              <w:divsChild>
                <w:div w:id="7492135">
                  <w:marLeft w:val="0"/>
                  <w:marRight w:val="0"/>
                  <w:marTop w:val="0"/>
                  <w:marBottom w:val="0"/>
                  <w:divBdr>
                    <w:top w:val="none" w:sz="0" w:space="0" w:color="auto"/>
                    <w:left w:val="none" w:sz="0" w:space="0" w:color="auto"/>
                    <w:bottom w:val="none" w:sz="0" w:space="0" w:color="auto"/>
                    <w:right w:val="none" w:sz="0" w:space="0" w:color="auto"/>
                  </w:divBdr>
                  <w:divsChild>
                    <w:div w:id="1970889935">
                      <w:marLeft w:val="0"/>
                      <w:marRight w:val="525"/>
                      <w:marTop w:val="0"/>
                      <w:marBottom w:val="300"/>
                      <w:divBdr>
                        <w:top w:val="none" w:sz="0" w:space="0" w:color="auto"/>
                        <w:left w:val="none" w:sz="0" w:space="0" w:color="auto"/>
                        <w:bottom w:val="none" w:sz="0" w:space="0" w:color="auto"/>
                        <w:right w:val="none" w:sz="0" w:space="0" w:color="auto"/>
                      </w:divBdr>
                      <w:divsChild>
                        <w:div w:id="1826969803">
                          <w:marLeft w:val="0"/>
                          <w:marRight w:val="0"/>
                          <w:marTop w:val="0"/>
                          <w:marBottom w:val="0"/>
                          <w:divBdr>
                            <w:top w:val="none" w:sz="0" w:space="0" w:color="auto"/>
                            <w:left w:val="none" w:sz="0" w:space="0" w:color="auto"/>
                            <w:bottom w:val="none" w:sz="0" w:space="0" w:color="auto"/>
                            <w:right w:val="none" w:sz="0" w:space="0" w:color="auto"/>
                          </w:divBdr>
                          <w:divsChild>
                            <w:div w:id="248320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cnsf.nl/vertrouwenspunts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B1E5-AA7D-41A1-B275-B7AD1305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1199</Words>
  <Characters>6597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Sandra Barth</cp:lastModifiedBy>
  <cp:revision>3</cp:revision>
  <cp:lastPrinted>2015-11-26T13:47:00Z</cp:lastPrinted>
  <dcterms:created xsi:type="dcterms:W3CDTF">2025-06-30T13:48:00Z</dcterms:created>
  <dcterms:modified xsi:type="dcterms:W3CDTF">2025-06-30T14:15:00Z</dcterms:modified>
</cp:coreProperties>
</file>