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5EE" w:rsidRPr="003C55EE" w:rsidRDefault="003C55EE" w:rsidP="001B1A9D">
      <w:pPr>
        <w:rPr>
          <w:b/>
        </w:rPr>
      </w:pPr>
      <w:r w:rsidRPr="003C55EE">
        <w:rPr>
          <w:b/>
        </w:rPr>
        <w:t xml:space="preserve">Notulen </w:t>
      </w:r>
    </w:p>
    <w:p w:rsidR="003C55EE" w:rsidRPr="003C55EE" w:rsidRDefault="003C55EE" w:rsidP="001B1A9D">
      <w:pPr>
        <w:rPr>
          <w:b/>
        </w:rPr>
      </w:pPr>
      <w:r w:rsidRPr="003C55EE">
        <w:rPr>
          <w:b/>
        </w:rPr>
        <w:t xml:space="preserve">Algemene Ledenvergadering RKSV Bekkerveld </w:t>
      </w:r>
    </w:p>
    <w:p w:rsidR="002429B5" w:rsidRDefault="003C55EE" w:rsidP="001B1A9D">
      <w:pPr>
        <w:rPr>
          <w:b/>
        </w:rPr>
      </w:pPr>
      <w:r w:rsidRPr="003C55EE">
        <w:rPr>
          <w:b/>
        </w:rPr>
        <w:t>4 juni 2018</w:t>
      </w:r>
      <w:r>
        <w:rPr>
          <w:b/>
        </w:rPr>
        <w:t>, 20.00 uur</w:t>
      </w:r>
    </w:p>
    <w:p w:rsidR="003C55EE" w:rsidRDefault="003C55EE" w:rsidP="001B1A9D">
      <w:pPr>
        <w:rPr>
          <w:b/>
        </w:rPr>
      </w:pPr>
    </w:p>
    <w:p w:rsidR="003C55EE" w:rsidRDefault="003C55EE" w:rsidP="003C55EE">
      <w:pPr>
        <w:pStyle w:val="Lijstalinea"/>
        <w:numPr>
          <w:ilvl w:val="0"/>
          <w:numId w:val="11"/>
        </w:numPr>
      </w:pPr>
      <w:r>
        <w:t>Opening en mededelingen</w:t>
      </w:r>
    </w:p>
    <w:p w:rsidR="0069175B" w:rsidRDefault="00326154" w:rsidP="0069175B">
      <w:pPr>
        <w:pStyle w:val="Lijstalinea"/>
      </w:pPr>
      <w:r>
        <w:t>De voorzitter heet iedereen van harte welkom.</w:t>
      </w:r>
      <w:r>
        <w:br/>
        <w:t>De agenda wordt conform vastgesteld.</w:t>
      </w:r>
    </w:p>
    <w:p w:rsidR="00326154" w:rsidRDefault="008055AD" w:rsidP="0069175B">
      <w:pPr>
        <w:pStyle w:val="Lijstalinea"/>
      </w:pPr>
      <w:r>
        <w:t xml:space="preserve">Vrijdag 29 mei is erelid Jan </w:t>
      </w:r>
      <w:proofErr w:type="spellStart"/>
      <w:r>
        <w:t>Mingels</w:t>
      </w:r>
      <w:proofErr w:type="spellEnd"/>
      <w:r>
        <w:t xml:space="preserve"> overleden. Het bestuur spreekt haar waardering uit voor de jarenlange inzet van Jan. De vergadering wordt onderbroken voor een minuut stilte.</w:t>
      </w:r>
    </w:p>
    <w:p w:rsidR="008055AD" w:rsidRDefault="008055AD" w:rsidP="0069175B">
      <w:pPr>
        <w:pStyle w:val="Lijstalinea"/>
      </w:pPr>
    </w:p>
    <w:p w:rsidR="003C55EE" w:rsidRDefault="003C55EE" w:rsidP="003C55EE">
      <w:pPr>
        <w:ind w:left="360"/>
      </w:pPr>
      <w:r>
        <w:t>a) AVG</w:t>
      </w:r>
      <w:r w:rsidR="00326154">
        <w:br/>
      </w:r>
      <w:r w:rsidR="00920040">
        <w:t>Als grondslag wordt gehanteerd uitdrukkelijke toestemming. Alle nieuwe leden krijgen bij aanmelding de mogelijkheid aan te geven dat zij toestemming geven om gegevens te verwerken nodig voor de bedrijfsvoering.</w:t>
      </w:r>
      <w:r w:rsidR="009A57C1">
        <w:t xml:space="preserve"> Er wordt gewerkt aan een regeling op papier.</w:t>
      </w:r>
      <w:r>
        <w:br/>
        <w:t xml:space="preserve">b) stand van zaken SJO </w:t>
      </w:r>
      <w:proofErr w:type="spellStart"/>
      <w:r>
        <w:t>Weltania</w:t>
      </w:r>
      <w:proofErr w:type="spellEnd"/>
      <w:r>
        <w:t>-Bekkerveld</w:t>
      </w:r>
      <w:r w:rsidR="009A57C1">
        <w:br/>
        <w:t xml:space="preserve">DB Bekkerveld heeft recentelijk overlegd met DB </w:t>
      </w:r>
      <w:proofErr w:type="spellStart"/>
      <w:r w:rsidR="009A57C1">
        <w:t>Weltania</w:t>
      </w:r>
      <w:proofErr w:type="spellEnd"/>
      <w:r w:rsidR="009A57C1">
        <w:t>. Een aantal zaken doen we al samen, o</w:t>
      </w:r>
      <w:r w:rsidR="000E4FD2">
        <w:t xml:space="preserve">.a. wedstrijdsecretariaat, </w:t>
      </w:r>
      <w:proofErr w:type="spellStart"/>
      <w:r w:rsidR="000E4FD2">
        <w:t>ict</w:t>
      </w:r>
      <w:proofErr w:type="spellEnd"/>
      <w:r w:rsidR="009A57C1">
        <w:t xml:space="preserve">. </w:t>
      </w:r>
      <w:r w:rsidR="000E4FD2">
        <w:t xml:space="preserve">Samenwerking zit voor dit moment vooral </w:t>
      </w:r>
      <w:r w:rsidR="009A57C1">
        <w:t>op de productieve kant. Samenvoeging van teams is niet het uitgangspunt. Dit moet vooral een middel zijn om problemen in het proces op te lossen.</w:t>
      </w:r>
      <w:r>
        <w:br/>
        <w:t>c) voorgenomen besluit tot benoemen ereleden</w:t>
      </w:r>
      <w:r w:rsidR="009A57C1">
        <w:br/>
        <w:t>twee kandidaten:</w:t>
      </w:r>
    </w:p>
    <w:p w:rsidR="009A57C1" w:rsidRDefault="009A57C1" w:rsidP="003C55EE">
      <w:pPr>
        <w:ind w:left="360"/>
      </w:pPr>
      <w:r>
        <w:t>- Wim Simons</w:t>
      </w:r>
    </w:p>
    <w:p w:rsidR="009A57C1" w:rsidRDefault="009A57C1" w:rsidP="003C55EE">
      <w:pPr>
        <w:ind w:left="360"/>
      </w:pPr>
      <w:r>
        <w:t xml:space="preserve">- Laurens </w:t>
      </w:r>
      <w:proofErr w:type="spellStart"/>
      <w:r>
        <w:t>Crombach</w:t>
      </w:r>
      <w:proofErr w:type="spellEnd"/>
      <w:r w:rsidR="00FA2351">
        <w:br/>
        <w:t>Beide personen zullen op een nog nader bekend te maken tijdstip officieel in het zonnetje worden gezet.</w:t>
      </w:r>
    </w:p>
    <w:p w:rsidR="00FA2351" w:rsidRDefault="00FA2351" w:rsidP="003C55EE">
      <w:pPr>
        <w:ind w:left="360"/>
      </w:pPr>
    </w:p>
    <w:p w:rsidR="003C55EE" w:rsidRDefault="003C55EE" w:rsidP="003C55EE">
      <w:pPr>
        <w:pStyle w:val="Lijstalinea"/>
        <w:numPr>
          <w:ilvl w:val="0"/>
          <w:numId w:val="11"/>
        </w:numPr>
      </w:pPr>
      <w:r>
        <w:t>Verslag 18 december 2017</w:t>
      </w:r>
      <w:r w:rsidR="00FA2351">
        <w:br/>
        <w:t>Wim Simons geeft aan dat hij een vraag heeft gesteld m.b.t. VOG voor vrijwilligers. Dit is niet in het verslag opgenomen. Wordt alsnog toegevoegd. Paul geeft n</w:t>
      </w:r>
      <w:r w:rsidR="00BB6B64">
        <w:t>o</w:t>
      </w:r>
      <w:r w:rsidR="00FA2351">
        <w:t xml:space="preserve">g </w:t>
      </w:r>
      <w:r w:rsidR="00BB6B64">
        <w:t>toelichting</w:t>
      </w:r>
      <w:r w:rsidR="00FA2351">
        <w:t xml:space="preserve"> op de stand van zaken hieromtrent (wordt meegenomen in het jeugdtraject o.a. vertrouwenspersoon)</w:t>
      </w:r>
      <w:r w:rsidR="00FA2351">
        <w:br/>
        <w:t>notulen verder akkoord</w:t>
      </w:r>
    </w:p>
    <w:p w:rsidR="003C55EE" w:rsidRDefault="003C55EE" w:rsidP="003C55EE">
      <w:pPr>
        <w:pStyle w:val="Lijstalinea"/>
        <w:numPr>
          <w:ilvl w:val="0"/>
          <w:numId w:val="11"/>
        </w:numPr>
      </w:pPr>
      <w:r>
        <w:t>Benoeming bestuursleden:</w:t>
      </w:r>
      <w:r>
        <w:br/>
        <w:t>a) secretaris</w:t>
      </w:r>
      <w:r w:rsidR="000E4FD2">
        <w:t>:</w:t>
      </w:r>
      <w:r w:rsidR="00FA2351">
        <w:t xml:space="preserve"> Wieteke Schroeders</w:t>
      </w:r>
      <w:r w:rsidR="000E4FD2">
        <w:t xml:space="preserve"> -&gt;</w:t>
      </w:r>
      <w:r w:rsidR="00FA2351">
        <w:t xml:space="preserve"> akkoord</w:t>
      </w:r>
      <w:r>
        <w:br/>
        <w:t>b) penningmeester</w:t>
      </w:r>
      <w:r w:rsidR="000E4FD2">
        <w:t>: Harrie Opbroek -&gt;</w:t>
      </w:r>
      <w:r w:rsidR="00FA2351">
        <w:t xml:space="preserve"> akkoord</w:t>
      </w:r>
      <w:r>
        <w:br/>
        <w:t>c) voorzitter jeugdcommissie</w:t>
      </w:r>
      <w:r w:rsidR="000E4FD2">
        <w:t>:</w:t>
      </w:r>
      <w:r w:rsidR="00FA2351">
        <w:t xml:space="preserve"> Joost </w:t>
      </w:r>
      <w:proofErr w:type="spellStart"/>
      <w:r w:rsidR="00FA2351">
        <w:t>Jansonius</w:t>
      </w:r>
      <w:proofErr w:type="spellEnd"/>
      <w:r w:rsidR="000E4FD2">
        <w:t xml:space="preserve"> -&gt;</w:t>
      </w:r>
      <w:r w:rsidR="00FA2351">
        <w:t xml:space="preserve"> akkoord</w:t>
      </w:r>
      <w:r w:rsidR="00FA2351">
        <w:br/>
        <w:t xml:space="preserve">In de commissies zijn </w:t>
      </w:r>
      <w:r w:rsidR="000E4FD2">
        <w:t>een aantal</w:t>
      </w:r>
      <w:r w:rsidR="00FA2351">
        <w:t xml:space="preserve"> verschuivingen. Definitieve zaken zullen aan de vergadering worden voorgelegd.</w:t>
      </w:r>
    </w:p>
    <w:p w:rsidR="003C55EE" w:rsidRDefault="003C55EE" w:rsidP="003C55EE">
      <w:pPr>
        <w:pStyle w:val="Lijstalinea"/>
        <w:numPr>
          <w:ilvl w:val="0"/>
          <w:numId w:val="11"/>
        </w:numPr>
      </w:pPr>
      <w:r>
        <w:t>Realisatie seizoen 2016/2017</w:t>
      </w:r>
      <w:r w:rsidR="000E4FD2">
        <w:br/>
        <w:t xml:space="preserve">Door accountant Wolting en Versteegh is de definitieve realisatie 2016/2017 opgeleverd. </w:t>
      </w:r>
    </w:p>
    <w:p w:rsidR="003C55EE" w:rsidRDefault="003C55EE" w:rsidP="003C55EE">
      <w:pPr>
        <w:pStyle w:val="Lijstalinea"/>
        <w:numPr>
          <w:ilvl w:val="0"/>
          <w:numId w:val="11"/>
        </w:numPr>
      </w:pPr>
      <w:r>
        <w:t>Stand van zaken seizoen 2017/2018</w:t>
      </w:r>
      <w:r w:rsidR="000E4FD2">
        <w:br/>
        <w:t>een definitief eindresultaat kan nog niet worden gegeven, omdat het seizoen nog loopt. Door diverse ingrepen en veel inspanningen van zowel de financiële commissie als de penningmeester is dit resultaat bereikt.</w:t>
      </w:r>
    </w:p>
    <w:p w:rsidR="003C55EE" w:rsidRDefault="003C55EE" w:rsidP="003C55EE">
      <w:pPr>
        <w:pStyle w:val="Lijstalinea"/>
        <w:numPr>
          <w:ilvl w:val="0"/>
          <w:numId w:val="11"/>
        </w:numPr>
      </w:pPr>
      <w:r>
        <w:t>Begroting 2018/2019</w:t>
      </w:r>
      <w:r w:rsidR="000E4FD2">
        <w:br/>
        <w:t>Om de voorgelegde begroting te realiseren is het nodig de contributie aan te passen. Ter vergadering wordt over het voorstel gestemd</w:t>
      </w:r>
      <w:r w:rsidR="00E15374">
        <w:t>.</w:t>
      </w:r>
      <w:r>
        <w:br/>
        <w:t>a) Voorstel tot aanpassing van de contributie</w:t>
      </w:r>
      <w:r w:rsidR="007E46F1">
        <w:br/>
      </w:r>
      <w:r w:rsidR="00E15374">
        <w:lastRenderedPageBreak/>
        <w:t>21 stemmen voor</w:t>
      </w:r>
      <w:r w:rsidR="00E15374">
        <w:br/>
        <w:t xml:space="preserve">3 </w:t>
      </w:r>
      <w:r w:rsidR="007E46F1">
        <w:t>stemmen</w:t>
      </w:r>
      <w:r w:rsidR="00E15374">
        <w:t xml:space="preserve"> tegen</w:t>
      </w:r>
    </w:p>
    <w:p w:rsidR="007E46F1" w:rsidRDefault="007E46F1" w:rsidP="007E46F1">
      <w:pPr>
        <w:pStyle w:val="Lijstalinea"/>
      </w:pPr>
      <w:r>
        <w:t>0 onthoudingen</w:t>
      </w:r>
    </w:p>
    <w:p w:rsidR="000E4FD2" w:rsidRDefault="000E4FD2" w:rsidP="007E46F1">
      <w:pPr>
        <w:pStyle w:val="Lijstalinea"/>
      </w:pPr>
    </w:p>
    <w:p w:rsidR="000E4FD2" w:rsidRDefault="000E4FD2" w:rsidP="007E46F1">
      <w:pPr>
        <w:pStyle w:val="Lijstalinea"/>
      </w:pPr>
      <w:r>
        <w:t>Noot van de secretaris: punt 4, 5 en 6 zijn ter vergadering uitvoering toegelicht door de penningmeester aan de hand van diverse financiële onderliggende stukken. Stukken kunnen in overleg met de penningmeester worden ingezien.</w:t>
      </w:r>
    </w:p>
    <w:p w:rsidR="000E4FD2" w:rsidRDefault="000E4FD2" w:rsidP="007E46F1">
      <w:pPr>
        <w:pStyle w:val="Lijstalinea"/>
      </w:pPr>
    </w:p>
    <w:p w:rsidR="003C55EE" w:rsidRDefault="003C55EE" w:rsidP="003C55EE">
      <w:pPr>
        <w:pStyle w:val="Lijstalinea"/>
        <w:numPr>
          <w:ilvl w:val="0"/>
          <w:numId w:val="11"/>
        </w:numPr>
      </w:pPr>
      <w:r>
        <w:t>Rondvraag en sluiting</w:t>
      </w:r>
    </w:p>
    <w:p w:rsidR="00F503A5" w:rsidRDefault="00F503A5" w:rsidP="00F503A5">
      <w:pPr>
        <w:pStyle w:val="Lijstalinea"/>
      </w:pPr>
      <w:r>
        <w:t xml:space="preserve">Jacques </w:t>
      </w:r>
      <w:proofErr w:type="spellStart"/>
      <w:r>
        <w:t>Pepels</w:t>
      </w:r>
      <w:proofErr w:type="spellEnd"/>
      <w:r>
        <w:t xml:space="preserve">: </w:t>
      </w:r>
      <w:r w:rsidR="00E15374">
        <w:t xml:space="preserve">er zou een </w:t>
      </w:r>
      <w:r>
        <w:t>jeugdspeler geweigerd zijn. Joost</w:t>
      </w:r>
      <w:r w:rsidR="00E15374">
        <w:t xml:space="preserve"> </w:t>
      </w:r>
      <w:proofErr w:type="spellStart"/>
      <w:r w:rsidR="00E15374">
        <w:t>Jansonius</w:t>
      </w:r>
      <w:proofErr w:type="spellEnd"/>
      <w:r>
        <w:t xml:space="preserve"> antwoord</w:t>
      </w:r>
      <w:r w:rsidR="00E15374">
        <w:t>t</w:t>
      </w:r>
      <w:r>
        <w:t xml:space="preserve"> dat dit verhaal niet klopt.</w:t>
      </w:r>
    </w:p>
    <w:p w:rsidR="00F503A5" w:rsidRDefault="00F503A5" w:rsidP="00F503A5">
      <w:pPr>
        <w:pStyle w:val="Lijstalinea"/>
      </w:pPr>
      <w:r>
        <w:t xml:space="preserve">Wim Simons: </w:t>
      </w:r>
      <w:r w:rsidR="00E15374">
        <w:t>verzoekt om een</w:t>
      </w:r>
      <w:r>
        <w:t xml:space="preserve"> ledenvergadering </w:t>
      </w:r>
      <w:r w:rsidR="00E15374">
        <w:t xml:space="preserve">in oktober </w:t>
      </w:r>
      <w:r>
        <w:t>met als thema realisatie 17/18 en voortgang gesprekken gemeente.</w:t>
      </w:r>
    </w:p>
    <w:p w:rsidR="00F503A5" w:rsidRDefault="00F503A5" w:rsidP="00F503A5">
      <w:pPr>
        <w:pStyle w:val="Lijstalinea"/>
      </w:pPr>
      <w:r>
        <w:t xml:space="preserve">Guido Blijlevens: vraag </w:t>
      </w:r>
      <w:proofErr w:type="spellStart"/>
      <w:r>
        <w:t>mbt</w:t>
      </w:r>
      <w:proofErr w:type="spellEnd"/>
      <w:r w:rsidR="00E107E2">
        <w:t xml:space="preserve"> SJO.</w:t>
      </w:r>
      <w:bookmarkStart w:id="0" w:name="_GoBack"/>
      <w:bookmarkEnd w:id="0"/>
      <w:r>
        <w:t xml:space="preserve"> Niet geforceerd samenvoegen. Vooral productieve kant heeft op dit moment focus.</w:t>
      </w:r>
    </w:p>
    <w:p w:rsidR="00F503A5" w:rsidRDefault="00F503A5" w:rsidP="00F503A5">
      <w:pPr>
        <w:pStyle w:val="Lijstalinea"/>
      </w:pPr>
      <w:r>
        <w:t xml:space="preserve">Martin Berkhoff: alle ingediende </w:t>
      </w:r>
      <w:r w:rsidR="00E107E2">
        <w:t>commissie-</w:t>
      </w:r>
      <w:r>
        <w:t>begrotingen zijn meegenomen in de centrale begroting. Bij jeugd en recreatief is een kleine correctie aangebracht.</w:t>
      </w:r>
    </w:p>
    <w:p w:rsidR="003C55EE" w:rsidRDefault="003C55EE" w:rsidP="003C55EE"/>
    <w:p w:rsidR="003C55EE" w:rsidRDefault="003C55EE" w:rsidP="003C55EE">
      <w:r>
        <w:t>Voorstel contributie, bedragen per maand (jaar):</w:t>
      </w:r>
    </w:p>
    <w:p w:rsidR="003C55EE" w:rsidRDefault="003C55EE" w:rsidP="003C55EE"/>
    <w:tbl>
      <w:tblPr>
        <w:tblStyle w:val="Tabelraster"/>
        <w:tblW w:w="0" w:type="auto"/>
        <w:tblLook w:val="04A0" w:firstRow="1" w:lastRow="0" w:firstColumn="1" w:lastColumn="0" w:noHBand="0" w:noVBand="1"/>
      </w:tblPr>
      <w:tblGrid>
        <w:gridCol w:w="1545"/>
        <w:gridCol w:w="1852"/>
        <w:gridCol w:w="1556"/>
        <w:gridCol w:w="1545"/>
        <w:gridCol w:w="1577"/>
      </w:tblGrid>
      <w:tr w:rsidR="003C55EE" w:rsidTr="00FD4D07">
        <w:tc>
          <w:tcPr>
            <w:tcW w:w="1545" w:type="dxa"/>
          </w:tcPr>
          <w:p w:rsidR="003C55EE" w:rsidRDefault="003C55EE" w:rsidP="00FD4D07"/>
        </w:tc>
        <w:tc>
          <w:tcPr>
            <w:tcW w:w="1852" w:type="dxa"/>
          </w:tcPr>
          <w:p w:rsidR="003C55EE" w:rsidRDefault="003C55EE" w:rsidP="00FD4D07">
            <w:r>
              <w:t xml:space="preserve">Jeugd </w:t>
            </w:r>
          </w:p>
          <w:p w:rsidR="003C55EE" w:rsidRDefault="003C55EE" w:rsidP="00FD4D07">
            <w:r>
              <w:t>4 t/m 13 jaar</w:t>
            </w:r>
          </w:p>
        </w:tc>
        <w:tc>
          <w:tcPr>
            <w:tcW w:w="1556" w:type="dxa"/>
          </w:tcPr>
          <w:p w:rsidR="003C55EE" w:rsidRDefault="003C55EE" w:rsidP="00FD4D07">
            <w:r>
              <w:t>Jeugd</w:t>
            </w:r>
          </w:p>
          <w:p w:rsidR="003C55EE" w:rsidRDefault="003C55EE" w:rsidP="00FD4D07">
            <w:r>
              <w:t>14 t/m 18 jaar</w:t>
            </w:r>
          </w:p>
        </w:tc>
        <w:tc>
          <w:tcPr>
            <w:tcW w:w="1545" w:type="dxa"/>
          </w:tcPr>
          <w:p w:rsidR="003C55EE" w:rsidRDefault="003C55EE" w:rsidP="00FD4D07">
            <w:r>
              <w:t>Senioren</w:t>
            </w:r>
          </w:p>
          <w:p w:rsidR="003C55EE" w:rsidRDefault="003C55EE" w:rsidP="00FD4D07">
            <w:r>
              <w:t>&gt; 18 jaar</w:t>
            </w:r>
          </w:p>
        </w:tc>
        <w:tc>
          <w:tcPr>
            <w:tcW w:w="1577" w:type="dxa"/>
          </w:tcPr>
          <w:p w:rsidR="003C55EE" w:rsidRDefault="003C55EE" w:rsidP="00FD4D07">
            <w:r>
              <w:t>Niet spelende</w:t>
            </w:r>
          </w:p>
          <w:p w:rsidR="003C55EE" w:rsidRDefault="003C55EE" w:rsidP="00FD4D07">
            <w:r>
              <w:t>leden</w:t>
            </w:r>
          </w:p>
        </w:tc>
      </w:tr>
      <w:tr w:rsidR="003C55EE" w:rsidTr="00FD4D07">
        <w:tc>
          <w:tcPr>
            <w:tcW w:w="1545" w:type="dxa"/>
          </w:tcPr>
          <w:p w:rsidR="003C55EE" w:rsidRPr="008C1163" w:rsidRDefault="003C55EE" w:rsidP="00FD4D07"/>
        </w:tc>
        <w:tc>
          <w:tcPr>
            <w:tcW w:w="1852" w:type="dxa"/>
          </w:tcPr>
          <w:p w:rsidR="003C55EE" w:rsidRPr="00260D25" w:rsidRDefault="003C55EE" w:rsidP="00FD4D07">
            <w:pPr>
              <w:rPr>
                <w:b/>
              </w:rPr>
            </w:pPr>
          </w:p>
        </w:tc>
        <w:tc>
          <w:tcPr>
            <w:tcW w:w="1556" w:type="dxa"/>
          </w:tcPr>
          <w:p w:rsidR="003C55EE" w:rsidRPr="00260D25" w:rsidRDefault="003C55EE" w:rsidP="00FD4D07">
            <w:pPr>
              <w:rPr>
                <w:b/>
              </w:rPr>
            </w:pPr>
          </w:p>
        </w:tc>
        <w:tc>
          <w:tcPr>
            <w:tcW w:w="1545" w:type="dxa"/>
          </w:tcPr>
          <w:p w:rsidR="003C55EE" w:rsidRPr="00260D25" w:rsidRDefault="003C55EE" w:rsidP="00FD4D07">
            <w:pPr>
              <w:rPr>
                <w:b/>
              </w:rPr>
            </w:pPr>
          </w:p>
        </w:tc>
        <w:tc>
          <w:tcPr>
            <w:tcW w:w="1577" w:type="dxa"/>
          </w:tcPr>
          <w:p w:rsidR="003C55EE" w:rsidRPr="00260D25" w:rsidRDefault="003C55EE" w:rsidP="00FD4D07">
            <w:pPr>
              <w:rPr>
                <w:b/>
              </w:rPr>
            </w:pPr>
          </w:p>
        </w:tc>
      </w:tr>
      <w:tr w:rsidR="003C55EE" w:rsidTr="00FD4D07">
        <w:tc>
          <w:tcPr>
            <w:tcW w:w="1545" w:type="dxa"/>
          </w:tcPr>
          <w:p w:rsidR="003C55EE" w:rsidRDefault="003C55EE" w:rsidP="00FD4D07">
            <w:r>
              <w:t>Oud</w:t>
            </w:r>
          </w:p>
        </w:tc>
        <w:tc>
          <w:tcPr>
            <w:tcW w:w="1852" w:type="dxa"/>
          </w:tcPr>
          <w:p w:rsidR="003C55EE" w:rsidRDefault="003C55EE" w:rsidP="00FD4D07">
            <w:pPr>
              <w:rPr>
                <w:b/>
              </w:rPr>
            </w:pPr>
            <w:r w:rsidRPr="00260D25">
              <w:rPr>
                <w:b/>
              </w:rPr>
              <w:t>€15,65</w:t>
            </w:r>
            <w:r>
              <w:rPr>
                <w:b/>
              </w:rPr>
              <w:t xml:space="preserve"> (187,50)</w:t>
            </w:r>
          </w:p>
          <w:p w:rsidR="003C55EE" w:rsidRPr="00260D25" w:rsidRDefault="003C55EE" w:rsidP="00FD4D07">
            <w:pPr>
              <w:rPr>
                <w:b/>
              </w:rPr>
            </w:pPr>
          </w:p>
        </w:tc>
        <w:tc>
          <w:tcPr>
            <w:tcW w:w="1556" w:type="dxa"/>
          </w:tcPr>
          <w:p w:rsidR="003C55EE" w:rsidRDefault="003C55EE" w:rsidP="00FD4D07">
            <w:pPr>
              <w:rPr>
                <w:b/>
              </w:rPr>
            </w:pPr>
            <w:r w:rsidRPr="00260D25">
              <w:rPr>
                <w:b/>
              </w:rPr>
              <w:t>€18,15</w:t>
            </w:r>
            <w:r>
              <w:rPr>
                <w:b/>
              </w:rPr>
              <w:t xml:space="preserve"> (€217,80)</w:t>
            </w:r>
          </w:p>
          <w:p w:rsidR="003C55EE" w:rsidRPr="00260D25" w:rsidRDefault="003C55EE" w:rsidP="00FD4D07">
            <w:pPr>
              <w:rPr>
                <w:b/>
              </w:rPr>
            </w:pPr>
          </w:p>
        </w:tc>
        <w:tc>
          <w:tcPr>
            <w:tcW w:w="1545" w:type="dxa"/>
          </w:tcPr>
          <w:p w:rsidR="003C55EE" w:rsidRPr="00260D25" w:rsidRDefault="003C55EE" w:rsidP="00FD4D07">
            <w:pPr>
              <w:rPr>
                <w:b/>
              </w:rPr>
            </w:pPr>
            <w:r w:rsidRPr="00260D25">
              <w:rPr>
                <w:b/>
              </w:rPr>
              <w:t>€20,20</w:t>
            </w:r>
            <w:r>
              <w:rPr>
                <w:b/>
              </w:rPr>
              <w:t xml:space="preserve"> (€242,40)</w:t>
            </w:r>
          </w:p>
        </w:tc>
        <w:tc>
          <w:tcPr>
            <w:tcW w:w="1577" w:type="dxa"/>
          </w:tcPr>
          <w:p w:rsidR="003C55EE" w:rsidRPr="00260D25" w:rsidRDefault="003C55EE" w:rsidP="00FD4D07">
            <w:pPr>
              <w:rPr>
                <w:b/>
              </w:rPr>
            </w:pPr>
            <w:r w:rsidRPr="00260D25">
              <w:rPr>
                <w:b/>
              </w:rPr>
              <w:t>€7,90</w:t>
            </w:r>
            <w:r>
              <w:rPr>
                <w:b/>
              </w:rPr>
              <w:t xml:space="preserve"> (€94,80)</w:t>
            </w:r>
          </w:p>
        </w:tc>
      </w:tr>
      <w:tr w:rsidR="003C55EE" w:rsidTr="00FD4D07">
        <w:tc>
          <w:tcPr>
            <w:tcW w:w="1545" w:type="dxa"/>
          </w:tcPr>
          <w:p w:rsidR="003C55EE" w:rsidRDefault="003C55EE" w:rsidP="00FD4D07">
            <w:r>
              <w:t>Nieuw</w:t>
            </w:r>
          </w:p>
        </w:tc>
        <w:tc>
          <w:tcPr>
            <w:tcW w:w="1852" w:type="dxa"/>
          </w:tcPr>
          <w:p w:rsidR="003C55EE" w:rsidRDefault="003C55EE" w:rsidP="00FD4D07">
            <w:pPr>
              <w:rPr>
                <w:b/>
              </w:rPr>
            </w:pPr>
            <w:r>
              <w:rPr>
                <w:b/>
              </w:rPr>
              <w:t>€17,50 (€210,00)</w:t>
            </w:r>
          </w:p>
          <w:p w:rsidR="003C55EE" w:rsidRPr="00260D25" w:rsidRDefault="003C55EE" w:rsidP="00FD4D07">
            <w:pPr>
              <w:rPr>
                <w:b/>
              </w:rPr>
            </w:pPr>
          </w:p>
        </w:tc>
        <w:tc>
          <w:tcPr>
            <w:tcW w:w="1556" w:type="dxa"/>
          </w:tcPr>
          <w:p w:rsidR="003C55EE" w:rsidRPr="00260D25" w:rsidRDefault="003C55EE" w:rsidP="00FD4D07">
            <w:pPr>
              <w:rPr>
                <w:b/>
              </w:rPr>
            </w:pPr>
            <w:r>
              <w:rPr>
                <w:b/>
              </w:rPr>
              <w:t>€19,50 (€234,00)</w:t>
            </w:r>
          </w:p>
        </w:tc>
        <w:tc>
          <w:tcPr>
            <w:tcW w:w="1545" w:type="dxa"/>
          </w:tcPr>
          <w:p w:rsidR="003C55EE" w:rsidRPr="00260D25" w:rsidRDefault="003C55EE" w:rsidP="00FD4D07">
            <w:pPr>
              <w:rPr>
                <w:b/>
              </w:rPr>
            </w:pPr>
            <w:r>
              <w:rPr>
                <w:b/>
              </w:rPr>
              <w:t>€21,50 (€258,00)</w:t>
            </w:r>
          </w:p>
        </w:tc>
        <w:tc>
          <w:tcPr>
            <w:tcW w:w="1577" w:type="dxa"/>
          </w:tcPr>
          <w:p w:rsidR="003C55EE" w:rsidRPr="00260D25" w:rsidRDefault="003C55EE" w:rsidP="00FD4D07">
            <w:pPr>
              <w:rPr>
                <w:b/>
              </w:rPr>
            </w:pPr>
            <w:r>
              <w:rPr>
                <w:b/>
              </w:rPr>
              <w:t>€8,50 (€102,00)</w:t>
            </w:r>
          </w:p>
        </w:tc>
      </w:tr>
    </w:tbl>
    <w:p w:rsidR="003C55EE" w:rsidRPr="003C55EE" w:rsidRDefault="003C55EE" w:rsidP="001B1A9D">
      <w:pPr>
        <w:rPr>
          <w:b/>
        </w:rPr>
      </w:pPr>
    </w:p>
    <w:sectPr w:rsidR="003C55EE" w:rsidRPr="003C55EE" w:rsidSect="00AC242F">
      <w:pgSz w:w="11907" w:h="16840" w:code="9"/>
      <w:pgMar w:top="2552" w:right="851" w:bottom="1701" w:left="1758" w:header="709" w:footer="284" w:gutter="0"/>
      <w:cols w:space="708"/>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446ACA"/>
    <w:multiLevelType w:val="hybridMultilevel"/>
    <w:tmpl w:val="E806B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EE"/>
    <w:rsid w:val="00034A82"/>
    <w:rsid w:val="000628BF"/>
    <w:rsid w:val="000E4FD2"/>
    <w:rsid w:val="0018228A"/>
    <w:rsid w:val="001B1A9D"/>
    <w:rsid w:val="002429B5"/>
    <w:rsid w:val="00326154"/>
    <w:rsid w:val="003C55EE"/>
    <w:rsid w:val="00422E45"/>
    <w:rsid w:val="0069175B"/>
    <w:rsid w:val="007E46F1"/>
    <w:rsid w:val="008055AD"/>
    <w:rsid w:val="00920040"/>
    <w:rsid w:val="009A57C1"/>
    <w:rsid w:val="00AC242F"/>
    <w:rsid w:val="00BB6B64"/>
    <w:rsid w:val="00E107E2"/>
    <w:rsid w:val="00E15374"/>
    <w:rsid w:val="00EF7EA5"/>
    <w:rsid w:val="00F503A5"/>
    <w:rsid w:val="00F8155B"/>
    <w:rsid w:val="00F82CB4"/>
    <w:rsid w:val="00FA2351"/>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8A0218-AE9E-4B91-A153-1241164F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paragraph" w:styleId="Lijstalinea">
    <w:name w:val="List Paragraph"/>
    <w:basedOn w:val="Standaard"/>
    <w:uiPriority w:val="34"/>
    <w:rsid w:val="003C55EE"/>
    <w:pPr>
      <w:ind w:left="720"/>
      <w:contextualSpacing/>
    </w:pPr>
  </w:style>
  <w:style w:type="table" w:styleId="Tabelraster">
    <w:name w:val="Table Grid"/>
    <w:basedOn w:val="Standaardtabel"/>
    <w:uiPriority w:val="59"/>
    <w:rsid w:val="003C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528</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ICT-Services</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Schroeders, Wieteke</dc:creator>
  <cp:keywords/>
  <dc:description/>
  <cp:lastModifiedBy>Schroeders, Wieteke</cp:lastModifiedBy>
  <cp:revision>8</cp:revision>
  <cp:lastPrinted>2010-09-13T06:24:00Z</cp:lastPrinted>
  <dcterms:created xsi:type="dcterms:W3CDTF">2018-06-04T13:42:00Z</dcterms:created>
  <dcterms:modified xsi:type="dcterms:W3CDTF">2019-01-18T09:39:00Z</dcterms:modified>
</cp:coreProperties>
</file>